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03A95">
      <w:pPr>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1</w:t>
      </w:r>
    </w:p>
    <w:p w14:paraId="09F33982">
      <w:pPr>
        <w:jc w:val="both"/>
        <w:rPr>
          <w:rFonts w:hint="default" w:ascii="Times New Roman" w:hAnsi="Times New Roman" w:eastAsia="仿宋" w:cs="Times New Roman"/>
          <w:b/>
          <w:bCs/>
          <w:sz w:val="40"/>
          <w:szCs w:val="48"/>
          <w:lang w:val="en-US" w:eastAsia="zh-CN"/>
        </w:rPr>
      </w:pPr>
    </w:p>
    <w:p w14:paraId="1F11FB44">
      <w:pPr>
        <w:jc w:val="center"/>
        <w:rPr>
          <w:rFonts w:ascii="Times New Roman" w:hAnsi="Times New Roman" w:eastAsia="仿宋" w:cs="Times New Roman"/>
          <w:b/>
          <w:bCs/>
          <w:sz w:val="40"/>
          <w:szCs w:val="48"/>
        </w:rPr>
      </w:pPr>
      <w:r>
        <w:rPr>
          <w:rFonts w:hint="eastAsia" w:ascii="Times New Roman" w:hAnsi="Times New Roman" w:eastAsia="仿宋" w:cs="Times New Roman"/>
          <w:b/>
          <w:bCs/>
          <w:sz w:val="40"/>
          <w:szCs w:val="48"/>
        </w:rPr>
        <w:t>广州市番禺区2025年度土地征收</w:t>
      </w:r>
    </w:p>
    <w:p w14:paraId="393E8511">
      <w:pPr>
        <w:jc w:val="center"/>
        <w:rPr>
          <w:rFonts w:ascii="Times New Roman" w:hAnsi="Times New Roman" w:eastAsia="仿宋" w:cs="Times New Roman"/>
          <w:b/>
          <w:bCs/>
          <w:sz w:val="40"/>
          <w:szCs w:val="48"/>
        </w:rPr>
      </w:pPr>
      <w:r>
        <w:rPr>
          <w:rFonts w:hint="eastAsia" w:ascii="Times New Roman" w:hAnsi="Times New Roman" w:eastAsia="仿宋" w:cs="Times New Roman"/>
          <w:b/>
          <w:bCs/>
          <w:sz w:val="40"/>
          <w:szCs w:val="48"/>
        </w:rPr>
        <w:t>成片开发方案（第一批）</w:t>
      </w:r>
    </w:p>
    <w:p w14:paraId="3D5C7454">
      <w:pPr>
        <w:jc w:val="center"/>
        <w:rPr>
          <w:rFonts w:ascii="Times New Roman" w:hAnsi="Times New Roman" w:eastAsia="仿宋" w:cs="Times New Roman"/>
          <w:b/>
          <w:bCs/>
          <w:sz w:val="32"/>
        </w:rPr>
      </w:pPr>
      <w:r>
        <w:rPr>
          <w:rFonts w:ascii="Times New Roman" w:hAnsi="Times New Roman" w:eastAsia="仿宋" w:cs="Times New Roman"/>
          <w:b/>
          <w:bCs/>
          <w:sz w:val="32"/>
        </w:rPr>
        <w:t>（公示草案）</w:t>
      </w:r>
    </w:p>
    <w:p w14:paraId="1D3C95AC">
      <w:pPr>
        <w:adjustRightInd w:val="0"/>
        <w:snapToGrid w:val="0"/>
        <w:spacing w:line="360" w:lineRule="auto"/>
        <w:outlineLvl w:val="0"/>
        <w:rPr>
          <w:rFonts w:ascii="Times New Roman" w:hAnsi="Times New Roman" w:eastAsia="仿宋" w:cs="Times New Roman"/>
          <w:b/>
          <w:bCs/>
          <w:sz w:val="30"/>
          <w:szCs w:val="30"/>
        </w:rPr>
      </w:pPr>
      <w:r>
        <w:rPr>
          <w:rFonts w:ascii="Times New Roman" w:hAnsi="Times New Roman" w:eastAsia="仿宋" w:cs="Times New Roman"/>
          <w:b/>
          <w:bCs/>
          <w:sz w:val="30"/>
          <w:szCs w:val="30"/>
        </w:rPr>
        <w:t>一、编制依据</w:t>
      </w:r>
      <w:bookmarkStart w:id="1" w:name="_GoBack"/>
      <w:bookmarkEnd w:id="1"/>
    </w:p>
    <w:p w14:paraId="0D45FA6C">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依据《中华人民共和国土地管理法》（2019年修订）、</w:t>
      </w:r>
      <w:r>
        <w:rPr>
          <w:rFonts w:hint="eastAsia" w:ascii="Times New Roman" w:hAnsi="Times New Roman" w:eastAsia="仿宋" w:cs="Times New Roman"/>
          <w:sz w:val="28"/>
          <w:szCs w:val="22"/>
        </w:rPr>
        <w:t>《自然资源部关于印发&lt;土地征收成片开发标准&gt;的通知》（自然资规〔2023〕7号）</w:t>
      </w:r>
      <w:r>
        <w:rPr>
          <w:rFonts w:ascii="Times New Roman" w:hAnsi="Times New Roman" w:eastAsia="仿宋" w:cs="Times New Roman"/>
          <w:sz w:val="28"/>
          <w:szCs w:val="22"/>
        </w:rPr>
        <w:t>、《广东省自然资源厅关于规范土地征收成片开发工作的通知》（粤自然资发〔2021〕20号）等相关文件，编制《</w:t>
      </w:r>
      <w:r>
        <w:rPr>
          <w:rFonts w:hint="eastAsia" w:ascii="Times New Roman" w:hAnsi="Times New Roman" w:eastAsia="仿宋" w:cs="Times New Roman"/>
          <w:sz w:val="28"/>
          <w:szCs w:val="22"/>
        </w:rPr>
        <w:t>广州市番禺区2025年度土地征收成片开发方案（第一批）</w:t>
      </w:r>
      <w:r>
        <w:rPr>
          <w:rFonts w:ascii="Times New Roman" w:hAnsi="Times New Roman" w:eastAsia="仿宋" w:cs="Times New Roman"/>
          <w:sz w:val="28"/>
          <w:szCs w:val="22"/>
        </w:rPr>
        <w:t>》。</w:t>
      </w:r>
    </w:p>
    <w:p w14:paraId="550DBC0D">
      <w:pPr>
        <w:adjustRightInd w:val="0"/>
        <w:snapToGrid w:val="0"/>
        <w:spacing w:line="360" w:lineRule="auto"/>
        <w:outlineLvl w:val="0"/>
        <w:rPr>
          <w:rFonts w:ascii="Times New Roman" w:hAnsi="Times New Roman" w:eastAsia="仿宋" w:cs="Times New Roman"/>
          <w:b/>
          <w:bCs/>
          <w:sz w:val="30"/>
          <w:szCs w:val="30"/>
        </w:rPr>
      </w:pPr>
      <w:r>
        <w:rPr>
          <w:rFonts w:ascii="Times New Roman" w:hAnsi="Times New Roman" w:eastAsia="仿宋" w:cs="Times New Roman"/>
          <w:b/>
          <w:bCs/>
          <w:sz w:val="30"/>
          <w:szCs w:val="30"/>
        </w:rPr>
        <w:t>二、成片开发范围基本情况</w:t>
      </w:r>
    </w:p>
    <w:p w14:paraId="46F8224A">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本次土地征收成片开发方案编制范围为番禺区行政区划范围内拟进行成片开发的区域。按照用地集约、创新引领、产业升维、品质再造等城市功能提升要求，结合番禺区土地征收工作安排，</w:t>
      </w:r>
      <w:r>
        <w:rPr>
          <w:rFonts w:hint="eastAsia" w:ascii="Times New Roman" w:hAnsi="Times New Roman" w:eastAsia="仿宋" w:cs="Times New Roman"/>
          <w:sz w:val="28"/>
          <w:szCs w:val="22"/>
        </w:rPr>
        <w:t>共划定5个成片开发范围，片区总面积为20.3603公顷</w:t>
      </w:r>
      <w:r>
        <w:rPr>
          <w:rFonts w:ascii="Times New Roman" w:hAnsi="Times New Roman" w:eastAsia="仿宋" w:cs="Times New Roman"/>
          <w:sz w:val="28"/>
          <w:szCs w:val="22"/>
        </w:rPr>
        <w:t>，分别为</w:t>
      </w:r>
      <w:r>
        <w:rPr>
          <w:rFonts w:hint="eastAsia" w:ascii="Times New Roman" w:hAnsi="Times New Roman" w:eastAsia="仿宋" w:cs="Times New Roman"/>
          <w:sz w:val="28"/>
          <w:szCs w:val="22"/>
        </w:rPr>
        <w:t>化龙镇柏堂村片区一~五</w:t>
      </w:r>
      <w:r>
        <w:rPr>
          <w:rFonts w:ascii="Times New Roman" w:hAnsi="Times New Roman" w:eastAsia="仿宋" w:cs="Times New Roman"/>
          <w:sz w:val="28"/>
          <w:szCs w:val="22"/>
        </w:rPr>
        <w:t>；拟安排建设</w:t>
      </w:r>
      <w:r>
        <w:rPr>
          <w:rFonts w:hint="eastAsia" w:ascii="Times New Roman" w:hAnsi="Times New Roman" w:eastAsia="仿宋" w:cs="Times New Roman"/>
          <w:sz w:val="28"/>
          <w:szCs w:val="22"/>
        </w:rPr>
        <w:t>5</w:t>
      </w:r>
      <w:r>
        <w:rPr>
          <w:rFonts w:ascii="Times New Roman" w:hAnsi="Times New Roman" w:eastAsia="仿宋" w:cs="Times New Roman"/>
          <w:sz w:val="28"/>
          <w:szCs w:val="22"/>
        </w:rPr>
        <w:t>个项目，项目总面积</w:t>
      </w:r>
      <w:r>
        <w:rPr>
          <w:rFonts w:hint="eastAsia" w:ascii="Times New Roman" w:hAnsi="Times New Roman" w:eastAsia="仿宋" w:cs="Times New Roman"/>
          <w:sz w:val="28"/>
          <w:szCs w:val="22"/>
        </w:rPr>
        <w:t>20.3603</w:t>
      </w:r>
      <w:r>
        <w:rPr>
          <w:rFonts w:ascii="Times New Roman" w:hAnsi="Times New Roman" w:eastAsia="仿宋" w:cs="Times New Roman"/>
          <w:sz w:val="28"/>
          <w:szCs w:val="22"/>
        </w:rPr>
        <w:t>公顷。拟安排的建设项目占成片开发范围面积的比例满足不低于60%要求。各片区面积、位置，拟安排的建设项目面积等详见下表：</w:t>
      </w:r>
    </w:p>
    <w:p w14:paraId="75DAF526">
      <w:pPr>
        <w:adjustRightInd w:val="0"/>
        <w:snapToGrid w:val="0"/>
        <w:spacing w:line="360" w:lineRule="auto"/>
        <w:jc w:val="center"/>
        <w:rPr>
          <w:rFonts w:ascii="Times New Roman" w:hAnsi="Times New Roman" w:eastAsia="仿宋" w:cs="Times New Roman"/>
          <w:b/>
          <w:sz w:val="28"/>
          <w:szCs w:val="22"/>
        </w:rPr>
      </w:pPr>
      <w:r>
        <w:rPr>
          <w:rFonts w:hint="eastAsia" w:ascii="Times New Roman" w:hAnsi="Times New Roman" w:eastAsia="仿宋" w:cs="Times New Roman"/>
          <w:b/>
          <w:sz w:val="28"/>
          <w:szCs w:val="22"/>
        </w:rPr>
        <w:t>表1：成片开发区基本情况表</w:t>
      </w:r>
    </w:p>
    <w:tbl>
      <w:tblPr>
        <w:tblStyle w:val="13"/>
        <w:tblW w:w="501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177"/>
        <w:gridCol w:w="981"/>
        <w:gridCol w:w="858"/>
        <w:gridCol w:w="2118"/>
        <w:gridCol w:w="850"/>
        <w:gridCol w:w="1177"/>
        <w:gridCol w:w="1182"/>
      </w:tblGrid>
      <w:tr w14:paraId="17D2E5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05" w:type="pct"/>
            <w:vMerge w:val="restart"/>
            <w:vAlign w:val="center"/>
          </w:tcPr>
          <w:p w14:paraId="784BDC63">
            <w:pPr>
              <w:autoSpaceDE w:val="0"/>
              <w:autoSpaceDN w:val="0"/>
              <w:jc w:val="center"/>
              <w:rPr>
                <w:rFonts w:ascii="仿宋" w:hAnsi="仿宋" w:eastAsia="仿宋" w:cs="仿宋"/>
                <w:b/>
                <w:szCs w:val="21"/>
                <w:lang w:eastAsia="en-US"/>
              </w:rPr>
            </w:pPr>
            <w:r>
              <w:rPr>
                <w:rFonts w:ascii="仿宋" w:hAnsi="仿宋" w:eastAsia="仿宋" w:cs="仿宋"/>
                <w:b/>
                <w:szCs w:val="21"/>
                <w:lang w:eastAsia="en-US"/>
              </w:rPr>
              <w:t>片区名称</w:t>
            </w:r>
          </w:p>
        </w:tc>
        <w:tc>
          <w:tcPr>
            <w:tcW w:w="588" w:type="pct"/>
            <w:vMerge w:val="restart"/>
            <w:vAlign w:val="center"/>
          </w:tcPr>
          <w:p w14:paraId="79DAA638">
            <w:pPr>
              <w:autoSpaceDE w:val="0"/>
              <w:autoSpaceDN w:val="0"/>
              <w:jc w:val="center"/>
              <w:rPr>
                <w:rFonts w:ascii="仿宋" w:hAnsi="仿宋" w:eastAsia="仿宋" w:cs="仿宋"/>
                <w:b/>
                <w:szCs w:val="21"/>
                <w:lang w:eastAsia="en-US"/>
              </w:rPr>
            </w:pPr>
            <w:r>
              <w:rPr>
                <w:rFonts w:ascii="仿宋" w:hAnsi="仿宋" w:eastAsia="仿宋" w:cs="仿宋"/>
                <w:b/>
                <w:szCs w:val="21"/>
                <w:lang w:eastAsia="en-US"/>
              </w:rPr>
              <w:t>成片开发范围面积</w:t>
            </w:r>
            <w:r>
              <w:rPr>
                <w:rFonts w:hint="eastAsia" w:ascii="仿宋" w:hAnsi="仿宋" w:eastAsia="仿宋" w:cs="仿宋"/>
                <w:b/>
                <w:szCs w:val="21"/>
                <w:lang w:eastAsia="en-US"/>
              </w:rPr>
              <w:t>（公顷）</w:t>
            </w:r>
          </w:p>
        </w:tc>
        <w:tc>
          <w:tcPr>
            <w:tcW w:w="514" w:type="pct"/>
            <w:vMerge w:val="restart"/>
            <w:vAlign w:val="center"/>
          </w:tcPr>
          <w:p w14:paraId="5A970CB5">
            <w:pPr>
              <w:autoSpaceDE w:val="0"/>
              <w:autoSpaceDN w:val="0"/>
              <w:jc w:val="center"/>
              <w:rPr>
                <w:rFonts w:ascii="仿宋" w:hAnsi="仿宋" w:eastAsia="仿宋" w:cs="仿宋"/>
                <w:b/>
                <w:szCs w:val="21"/>
                <w:lang w:eastAsia="en-US"/>
              </w:rPr>
            </w:pPr>
            <w:r>
              <w:rPr>
                <w:rFonts w:ascii="仿宋" w:hAnsi="仿宋" w:eastAsia="仿宋" w:cs="仿宋"/>
                <w:b/>
                <w:szCs w:val="21"/>
                <w:lang w:eastAsia="en-US"/>
              </w:rPr>
              <w:t>成片开发范围位置</w:t>
            </w:r>
          </w:p>
        </w:tc>
        <w:tc>
          <w:tcPr>
            <w:tcW w:w="1269" w:type="pct"/>
            <w:vMerge w:val="restart"/>
            <w:vAlign w:val="center"/>
          </w:tcPr>
          <w:p w14:paraId="06796C0A">
            <w:pPr>
              <w:autoSpaceDE w:val="0"/>
              <w:autoSpaceDN w:val="0"/>
              <w:jc w:val="center"/>
              <w:rPr>
                <w:rFonts w:ascii="仿宋" w:hAnsi="仿宋" w:eastAsia="仿宋" w:cs="仿宋"/>
                <w:b/>
                <w:szCs w:val="21"/>
                <w:lang w:eastAsia="en-US"/>
              </w:rPr>
            </w:pPr>
            <w:r>
              <w:rPr>
                <w:rFonts w:ascii="仿宋" w:hAnsi="仿宋" w:eastAsia="仿宋" w:cs="仿宋"/>
                <w:b/>
                <w:szCs w:val="21"/>
                <w:lang w:eastAsia="en-US"/>
              </w:rPr>
              <w:t>拟安排的建设项目名称</w:t>
            </w:r>
          </w:p>
        </w:tc>
        <w:tc>
          <w:tcPr>
            <w:tcW w:w="1922" w:type="pct"/>
            <w:gridSpan w:val="3"/>
            <w:vAlign w:val="center"/>
          </w:tcPr>
          <w:p w14:paraId="3648BC1D">
            <w:pPr>
              <w:autoSpaceDE w:val="0"/>
              <w:autoSpaceDN w:val="0"/>
              <w:jc w:val="center"/>
              <w:rPr>
                <w:rFonts w:ascii="仿宋" w:hAnsi="仿宋" w:eastAsia="仿宋" w:cs="仿宋"/>
                <w:b/>
                <w:szCs w:val="21"/>
                <w:lang w:eastAsia="en-US"/>
              </w:rPr>
            </w:pPr>
            <w:r>
              <w:rPr>
                <w:rFonts w:ascii="仿宋" w:hAnsi="仿宋" w:eastAsia="仿宋" w:cs="仿宋"/>
                <w:b/>
                <w:szCs w:val="21"/>
                <w:lang w:eastAsia="en-US"/>
              </w:rPr>
              <w:t>拟安排的建设项目</w:t>
            </w:r>
          </w:p>
        </w:tc>
      </w:tr>
      <w:tr w14:paraId="1CD8F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05" w:type="pct"/>
            <w:vMerge w:val="continue"/>
            <w:tcBorders>
              <w:top w:val="nil"/>
            </w:tcBorders>
            <w:vAlign w:val="center"/>
          </w:tcPr>
          <w:p w14:paraId="7A4A8FC2">
            <w:pPr>
              <w:autoSpaceDE w:val="0"/>
              <w:autoSpaceDN w:val="0"/>
              <w:jc w:val="center"/>
              <w:rPr>
                <w:rFonts w:ascii="仿宋" w:hAnsi="仿宋" w:eastAsia="仿宋" w:cs="仿宋"/>
                <w:kern w:val="0"/>
                <w:szCs w:val="21"/>
                <w:lang w:eastAsia="en-US"/>
              </w:rPr>
            </w:pPr>
          </w:p>
        </w:tc>
        <w:tc>
          <w:tcPr>
            <w:tcW w:w="588" w:type="pct"/>
            <w:vMerge w:val="continue"/>
            <w:tcBorders>
              <w:top w:val="nil"/>
            </w:tcBorders>
            <w:vAlign w:val="center"/>
          </w:tcPr>
          <w:p w14:paraId="5970C17C">
            <w:pPr>
              <w:autoSpaceDE w:val="0"/>
              <w:autoSpaceDN w:val="0"/>
              <w:jc w:val="center"/>
              <w:rPr>
                <w:rFonts w:ascii="仿宋" w:hAnsi="仿宋" w:eastAsia="仿宋" w:cs="仿宋"/>
                <w:kern w:val="0"/>
                <w:szCs w:val="21"/>
                <w:lang w:eastAsia="en-US"/>
              </w:rPr>
            </w:pPr>
          </w:p>
        </w:tc>
        <w:tc>
          <w:tcPr>
            <w:tcW w:w="514" w:type="pct"/>
            <w:vMerge w:val="continue"/>
            <w:tcBorders>
              <w:top w:val="nil"/>
            </w:tcBorders>
            <w:vAlign w:val="center"/>
          </w:tcPr>
          <w:p w14:paraId="0953FFD4">
            <w:pPr>
              <w:autoSpaceDE w:val="0"/>
              <w:autoSpaceDN w:val="0"/>
              <w:jc w:val="center"/>
              <w:rPr>
                <w:rFonts w:ascii="仿宋" w:hAnsi="仿宋" w:eastAsia="仿宋" w:cs="仿宋"/>
                <w:kern w:val="0"/>
                <w:szCs w:val="21"/>
                <w:lang w:eastAsia="en-US"/>
              </w:rPr>
            </w:pPr>
          </w:p>
        </w:tc>
        <w:tc>
          <w:tcPr>
            <w:tcW w:w="1269" w:type="pct"/>
            <w:vMerge w:val="continue"/>
            <w:tcBorders>
              <w:top w:val="nil"/>
            </w:tcBorders>
            <w:vAlign w:val="center"/>
          </w:tcPr>
          <w:p w14:paraId="14253406">
            <w:pPr>
              <w:autoSpaceDE w:val="0"/>
              <w:autoSpaceDN w:val="0"/>
              <w:jc w:val="center"/>
              <w:rPr>
                <w:rFonts w:ascii="仿宋" w:hAnsi="仿宋" w:eastAsia="仿宋" w:cs="仿宋"/>
                <w:kern w:val="0"/>
                <w:szCs w:val="21"/>
                <w:lang w:eastAsia="en-US"/>
              </w:rPr>
            </w:pPr>
          </w:p>
        </w:tc>
        <w:tc>
          <w:tcPr>
            <w:tcW w:w="508" w:type="pct"/>
            <w:vAlign w:val="center"/>
          </w:tcPr>
          <w:p w14:paraId="056DA7A7">
            <w:pPr>
              <w:autoSpaceDE w:val="0"/>
              <w:autoSpaceDN w:val="0"/>
              <w:jc w:val="center"/>
              <w:rPr>
                <w:rFonts w:ascii="仿宋" w:hAnsi="仿宋" w:eastAsia="仿宋" w:cs="仿宋"/>
                <w:b/>
                <w:szCs w:val="21"/>
                <w:lang w:eastAsia="en-US"/>
              </w:rPr>
            </w:pPr>
            <w:r>
              <w:rPr>
                <w:rFonts w:hint="eastAsia" w:ascii="仿宋" w:hAnsi="仿宋" w:eastAsia="仿宋" w:cs="仿宋"/>
                <w:b/>
                <w:szCs w:val="21"/>
                <w:lang w:eastAsia="en-US"/>
              </w:rPr>
              <w:t>项目</w:t>
            </w:r>
            <w:r>
              <w:rPr>
                <w:rFonts w:ascii="仿宋" w:hAnsi="仿宋" w:eastAsia="仿宋" w:cs="仿宋"/>
                <w:b/>
                <w:szCs w:val="21"/>
                <w:lang w:eastAsia="en-US"/>
              </w:rPr>
              <w:t>面积</w:t>
            </w:r>
            <w:r>
              <w:rPr>
                <w:rFonts w:hint="eastAsia" w:ascii="仿宋" w:hAnsi="仿宋" w:eastAsia="仿宋" w:cs="仿宋"/>
                <w:b/>
                <w:szCs w:val="21"/>
                <w:lang w:eastAsia="en-US"/>
              </w:rPr>
              <w:t>（公顷）</w:t>
            </w:r>
          </w:p>
        </w:tc>
        <w:tc>
          <w:tcPr>
            <w:tcW w:w="705" w:type="pct"/>
            <w:vAlign w:val="center"/>
          </w:tcPr>
          <w:p w14:paraId="5148BC0E">
            <w:pPr>
              <w:autoSpaceDE w:val="0"/>
              <w:autoSpaceDN w:val="0"/>
              <w:jc w:val="center"/>
              <w:rPr>
                <w:rFonts w:ascii="仿宋" w:hAnsi="仿宋" w:eastAsia="仿宋" w:cs="仿宋"/>
                <w:b/>
                <w:szCs w:val="21"/>
                <w:lang w:eastAsia="en-US"/>
              </w:rPr>
            </w:pPr>
            <w:r>
              <w:rPr>
                <w:rFonts w:ascii="仿宋" w:hAnsi="仿宋" w:eastAsia="仿宋" w:cs="仿宋"/>
                <w:b/>
                <w:szCs w:val="21"/>
                <w:lang w:eastAsia="en-US"/>
              </w:rPr>
              <w:t>小计</w:t>
            </w:r>
            <w:r>
              <w:rPr>
                <w:rFonts w:hint="eastAsia" w:ascii="仿宋" w:hAnsi="仿宋" w:eastAsia="仿宋" w:cs="仿宋"/>
                <w:b/>
                <w:szCs w:val="21"/>
                <w:lang w:eastAsia="en-US"/>
              </w:rPr>
              <w:t>（公顷）</w:t>
            </w:r>
          </w:p>
        </w:tc>
        <w:tc>
          <w:tcPr>
            <w:tcW w:w="708" w:type="pct"/>
            <w:vAlign w:val="center"/>
          </w:tcPr>
          <w:p w14:paraId="3EE78BA2">
            <w:pPr>
              <w:autoSpaceDE w:val="0"/>
              <w:autoSpaceDN w:val="0"/>
              <w:jc w:val="center"/>
              <w:rPr>
                <w:rFonts w:ascii="仿宋" w:hAnsi="仿宋" w:eastAsia="仿宋" w:cs="仿宋"/>
                <w:b/>
                <w:szCs w:val="21"/>
                <w:lang w:eastAsia="en-US"/>
              </w:rPr>
            </w:pPr>
            <w:r>
              <w:rPr>
                <w:rFonts w:hint="eastAsia" w:ascii="仿宋" w:hAnsi="仿宋" w:eastAsia="仿宋" w:cs="仿宋"/>
                <w:b/>
                <w:szCs w:val="21"/>
                <w:lang w:eastAsia="en-US"/>
              </w:rPr>
              <w:t>占成片开发范围面积的比例</w:t>
            </w:r>
          </w:p>
        </w:tc>
      </w:tr>
      <w:tr w14:paraId="15F9FE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05" w:type="pct"/>
            <w:vAlign w:val="center"/>
          </w:tcPr>
          <w:p w14:paraId="60496521">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化龙镇柏堂村片区一</w:t>
            </w:r>
          </w:p>
        </w:tc>
        <w:tc>
          <w:tcPr>
            <w:tcW w:w="588" w:type="pct"/>
            <w:vAlign w:val="center"/>
          </w:tcPr>
          <w:p w14:paraId="488DE652">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3.8270</w:t>
            </w:r>
          </w:p>
        </w:tc>
        <w:tc>
          <w:tcPr>
            <w:tcW w:w="514" w:type="pct"/>
            <w:vAlign w:val="center"/>
          </w:tcPr>
          <w:p w14:paraId="63E56E69">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化龙镇</w:t>
            </w:r>
            <w:bookmarkStart w:id="0" w:name="OLE_LINK12"/>
            <w:r>
              <w:rPr>
                <w:rFonts w:hint="eastAsia" w:ascii="仿宋" w:hAnsi="仿宋" w:eastAsia="仿宋" w:cs="仿宋"/>
                <w:szCs w:val="21"/>
                <w:lang w:eastAsia="en-US"/>
              </w:rPr>
              <w:t>柏堂村</w:t>
            </w:r>
            <w:bookmarkEnd w:id="0"/>
          </w:p>
        </w:tc>
        <w:tc>
          <w:tcPr>
            <w:tcW w:w="1269" w:type="pct"/>
            <w:vAlign w:val="center"/>
          </w:tcPr>
          <w:p w14:paraId="60CB1B91">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柏堂村</w:t>
            </w:r>
            <w:r>
              <w:rPr>
                <w:rFonts w:ascii="仿宋" w:hAnsi="仿宋" w:eastAsia="仿宋" w:cs="仿宋"/>
                <w:szCs w:val="21"/>
                <w:lang w:eastAsia="en-US"/>
              </w:rPr>
              <w:t>更新改造项目1</w:t>
            </w:r>
          </w:p>
        </w:tc>
        <w:tc>
          <w:tcPr>
            <w:tcW w:w="508" w:type="pct"/>
            <w:vAlign w:val="center"/>
          </w:tcPr>
          <w:p w14:paraId="25568799">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3.8270</w:t>
            </w:r>
          </w:p>
        </w:tc>
        <w:tc>
          <w:tcPr>
            <w:tcW w:w="705" w:type="pct"/>
            <w:vAlign w:val="center"/>
          </w:tcPr>
          <w:p w14:paraId="2D0533B4">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3.8270</w:t>
            </w:r>
          </w:p>
        </w:tc>
        <w:tc>
          <w:tcPr>
            <w:tcW w:w="708" w:type="pct"/>
            <w:vAlign w:val="center"/>
          </w:tcPr>
          <w:p w14:paraId="4E7F0278">
            <w:pPr>
              <w:autoSpaceDE w:val="0"/>
              <w:autoSpaceDN w:val="0"/>
              <w:jc w:val="center"/>
              <w:rPr>
                <w:rFonts w:ascii="仿宋" w:hAnsi="仿宋" w:eastAsia="仿宋" w:cs="仿宋"/>
                <w:szCs w:val="21"/>
                <w:lang w:eastAsia="en-US"/>
              </w:rPr>
            </w:pPr>
            <w:r>
              <w:rPr>
                <w:rFonts w:ascii="仿宋" w:hAnsi="仿宋" w:eastAsia="仿宋" w:cs="仿宋"/>
                <w:szCs w:val="21"/>
                <w:lang w:eastAsia="en-US"/>
              </w:rPr>
              <w:t>100.00%</w:t>
            </w:r>
          </w:p>
        </w:tc>
      </w:tr>
      <w:tr w14:paraId="3A29F5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jc w:val="center"/>
        </w:trPr>
        <w:tc>
          <w:tcPr>
            <w:tcW w:w="705" w:type="pct"/>
            <w:vAlign w:val="center"/>
          </w:tcPr>
          <w:p w14:paraId="5A92063F">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化龙镇柏堂村片区二</w:t>
            </w:r>
          </w:p>
        </w:tc>
        <w:tc>
          <w:tcPr>
            <w:tcW w:w="588" w:type="pct"/>
            <w:vAlign w:val="center"/>
          </w:tcPr>
          <w:p w14:paraId="0117E66A">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0.2932</w:t>
            </w:r>
          </w:p>
        </w:tc>
        <w:tc>
          <w:tcPr>
            <w:tcW w:w="514" w:type="pct"/>
            <w:vAlign w:val="center"/>
          </w:tcPr>
          <w:p w14:paraId="7A978817">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化龙镇柏堂村</w:t>
            </w:r>
          </w:p>
        </w:tc>
        <w:tc>
          <w:tcPr>
            <w:tcW w:w="1269" w:type="pct"/>
            <w:vAlign w:val="center"/>
          </w:tcPr>
          <w:p w14:paraId="198772FC">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柏堂村</w:t>
            </w:r>
            <w:r>
              <w:rPr>
                <w:rFonts w:ascii="仿宋" w:hAnsi="仿宋" w:eastAsia="仿宋" w:cs="仿宋"/>
                <w:szCs w:val="21"/>
                <w:lang w:eastAsia="en-US"/>
              </w:rPr>
              <w:t>更新改造项目2</w:t>
            </w:r>
          </w:p>
        </w:tc>
        <w:tc>
          <w:tcPr>
            <w:tcW w:w="508" w:type="pct"/>
            <w:vAlign w:val="center"/>
          </w:tcPr>
          <w:p w14:paraId="63F069AA">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0.2932</w:t>
            </w:r>
          </w:p>
        </w:tc>
        <w:tc>
          <w:tcPr>
            <w:tcW w:w="705" w:type="pct"/>
            <w:vAlign w:val="center"/>
          </w:tcPr>
          <w:p w14:paraId="5CFBF383">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0.2932</w:t>
            </w:r>
          </w:p>
        </w:tc>
        <w:tc>
          <w:tcPr>
            <w:tcW w:w="708" w:type="pct"/>
            <w:vAlign w:val="center"/>
          </w:tcPr>
          <w:p w14:paraId="7E545574">
            <w:pPr>
              <w:autoSpaceDE w:val="0"/>
              <w:autoSpaceDN w:val="0"/>
              <w:jc w:val="center"/>
              <w:rPr>
                <w:rFonts w:ascii="仿宋" w:hAnsi="仿宋" w:eastAsia="仿宋" w:cs="仿宋"/>
                <w:szCs w:val="21"/>
                <w:lang w:eastAsia="en-US"/>
              </w:rPr>
            </w:pPr>
            <w:r>
              <w:rPr>
                <w:rFonts w:ascii="仿宋" w:hAnsi="仿宋" w:eastAsia="仿宋" w:cs="仿宋"/>
                <w:szCs w:val="21"/>
                <w:lang w:eastAsia="en-US"/>
              </w:rPr>
              <w:t>100.00%</w:t>
            </w:r>
          </w:p>
        </w:tc>
      </w:tr>
      <w:tr w14:paraId="713ADD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05" w:type="pct"/>
            <w:vAlign w:val="center"/>
          </w:tcPr>
          <w:p w14:paraId="0CE0BDAA">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化龙镇柏堂村片区三</w:t>
            </w:r>
          </w:p>
        </w:tc>
        <w:tc>
          <w:tcPr>
            <w:tcW w:w="588" w:type="pct"/>
            <w:vAlign w:val="center"/>
          </w:tcPr>
          <w:p w14:paraId="69048A62">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11 3192</w:t>
            </w:r>
          </w:p>
        </w:tc>
        <w:tc>
          <w:tcPr>
            <w:tcW w:w="514" w:type="pct"/>
            <w:vAlign w:val="center"/>
          </w:tcPr>
          <w:p w14:paraId="0AB34522">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化龙镇柏堂村</w:t>
            </w:r>
          </w:p>
        </w:tc>
        <w:tc>
          <w:tcPr>
            <w:tcW w:w="1269" w:type="pct"/>
            <w:vAlign w:val="center"/>
          </w:tcPr>
          <w:p w14:paraId="36EEF94E">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柏堂村</w:t>
            </w:r>
            <w:r>
              <w:rPr>
                <w:rFonts w:ascii="仿宋" w:hAnsi="仿宋" w:eastAsia="仿宋" w:cs="仿宋"/>
                <w:szCs w:val="21"/>
                <w:lang w:eastAsia="en-US"/>
              </w:rPr>
              <w:t>更新改造项目3</w:t>
            </w:r>
          </w:p>
        </w:tc>
        <w:tc>
          <w:tcPr>
            <w:tcW w:w="508" w:type="pct"/>
            <w:vAlign w:val="center"/>
          </w:tcPr>
          <w:p w14:paraId="0C6AEACD">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11 3192</w:t>
            </w:r>
          </w:p>
        </w:tc>
        <w:tc>
          <w:tcPr>
            <w:tcW w:w="705" w:type="pct"/>
            <w:vAlign w:val="center"/>
          </w:tcPr>
          <w:p w14:paraId="0D499350">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11 3192</w:t>
            </w:r>
          </w:p>
        </w:tc>
        <w:tc>
          <w:tcPr>
            <w:tcW w:w="708" w:type="pct"/>
            <w:vAlign w:val="center"/>
          </w:tcPr>
          <w:p w14:paraId="274776F8">
            <w:pPr>
              <w:autoSpaceDE w:val="0"/>
              <w:autoSpaceDN w:val="0"/>
              <w:jc w:val="center"/>
              <w:rPr>
                <w:rFonts w:ascii="仿宋" w:hAnsi="仿宋" w:eastAsia="仿宋" w:cs="仿宋"/>
                <w:szCs w:val="21"/>
                <w:lang w:eastAsia="en-US"/>
              </w:rPr>
            </w:pPr>
            <w:r>
              <w:rPr>
                <w:rFonts w:ascii="仿宋" w:hAnsi="仿宋" w:eastAsia="仿宋" w:cs="仿宋"/>
                <w:szCs w:val="21"/>
                <w:lang w:eastAsia="en-US"/>
              </w:rPr>
              <w:t>100.00%</w:t>
            </w:r>
          </w:p>
        </w:tc>
      </w:tr>
      <w:tr w14:paraId="5C78B0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05" w:type="pct"/>
            <w:vAlign w:val="center"/>
          </w:tcPr>
          <w:p w14:paraId="242529A4">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化龙镇柏堂村片区四</w:t>
            </w:r>
          </w:p>
        </w:tc>
        <w:tc>
          <w:tcPr>
            <w:tcW w:w="588" w:type="pct"/>
            <w:vAlign w:val="center"/>
          </w:tcPr>
          <w:p w14:paraId="76887C97">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0.7497</w:t>
            </w:r>
          </w:p>
        </w:tc>
        <w:tc>
          <w:tcPr>
            <w:tcW w:w="514" w:type="pct"/>
            <w:vAlign w:val="center"/>
          </w:tcPr>
          <w:p w14:paraId="254DA7F7">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化龙镇柏堂村</w:t>
            </w:r>
          </w:p>
        </w:tc>
        <w:tc>
          <w:tcPr>
            <w:tcW w:w="1269" w:type="pct"/>
            <w:vAlign w:val="center"/>
          </w:tcPr>
          <w:p w14:paraId="644BE352">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柏堂村</w:t>
            </w:r>
            <w:r>
              <w:rPr>
                <w:rFonts w:ascii="仿宋" w:hAnsi="仿宋" w:eastAsia="仿宋" w:cs="仿宋"/>
                <w:szCs w:val="21"/>
                <w:lang w:eastAsia="en-US"/>
              </w:rPr>
              <w:t>更新改造项目4</w:t>
            </w:r>
          </w:p>
        </w:tc>
        <w:tc>
          <w:tcPr>
            <w:tcW w:w="508" w:type="pct"/>
            <w:vAlign w:val="center"/>
          </w:tcPr>
          <w:p w14:paraId="11249300">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0.7497</w:t>
            </w:r>
          </w:p>
        </w:tc>
        <w:tc>
          <w:tcPr>
            <w:tcW w:w="705" w:type="pct"/>
            <w:vAlign w:val="center"/>
          </w:tcPr>
          <w:p w14:paraId="04967827">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0.7497</w:t>
            </w:r>
          </w:p>
        </w:tc>
        <w:tc>
          <w:tcPr>
            <w:tcW w:w="708" w:type="pct"/>
            <w:vAlign w:val="center"/>
          </w:tcPr>
          <w:p w14:paraId="7F5BFCE4">
            <w:pPr>
              <w:autoSpaceDE w:val="0"/>
              <w:autoSpaceDN w:val="0"/>
              <w:jc w:val="center"/>
              <w:rPr>
                <w:rFonts w:ascii="仿宋" w:hAnsi="仿宋" w:eastAsia="仿宋" w:cs="仿宋"/>
                <w:szCs w:val="21"/>
                <w:lang w:eastAsia="en-US"/>
              </w:rPr>
            </w:pPr>
            <w:r>
              <w:rPr>
                <w:rFonts w:ascii="仿宋" w:hAnsi="仿宋" w:eastAsia="仿宋" w:cs="仿宋"/>
                <w:szCs w:val="21"/>
                <w:lang w:eastAsia="en-US"/>
              </w:rPr>
              <w:t>100.00%</w:t>
            </w:r>
          </w:p>
        </w:tc>
      </w:tr>
      <w:tr w14:paraId="7DC41B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05" w:type="pct"/>
            <w:vAlign w:val="center"/>
          </w:tcPr>
          <w:p w14:paraId="7BAEEB15">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化龙镇柏堂村片区五</w:t>
            </w:r>
          </w:p>
        </w:tc>
        <w:tc>
          <w:tcPr>
            <w:tcW w:w="588" w:type="pct"/>
            <w:vAlign w:val="center"/>
          </w:tcPr>
          <w:p w14:paraId="3E4A3A08">
            <w:pPr>
              <w:autoSpaceDE w:val="0"/>
              <w:autoSpaceDN w:val="0"/>
              <w:jc w:val="center"/>
              <w:rPr>
                <w:rFonts w:ascii="仿宋" w:hAnsi="仿宋" w:eastAsia="仿宋" w:cs="仿宋"/>
                <w:bCs/>
                <w:kern w:val="0"/>
                <w:szCs w:val="21"/>
                <w:lang w:eastAsia="en-US"/>
              </w:rPr>
            </w:pPr>
            <w:r>
              <w:rPr>
                <w:rFonts w:ascii="仿宋" w:hAnsi="仿宋" w:eastAsia="仿宋" w:cs="仿宋"/>
                <w:bCs/>
                <w:kern w:val="0"/>
                <w:szCs w:val="21"/>
                <w:lang w:eastAsia="en-US"/>
              </w:rPr>
              <w:t>4.1711</w:t>
            </w:r>
          </w:p>
        </w:tc>
        <w:tc>
          <w:tcPr>
            <w:tcW w:w="514" w:type="pct"/>
            <w:vAlign w:val="center"/>
          </w:tcPr>
          <w:p w14:paraId="151F5E0D">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化龙镇柏堂村</w:t>
            </w:r>
          </w:p>
        </w:tc>
        <w:tc>
          <w:tcPr>
            <w:tcW w:w="1269" w:type="pct"/>
            <w:vAlign w:val="center"/>
          </w:tcPr>
          <w:p w14:paraId="29C71FA1">
            <w:pPr>
              <w:autoSpaceDE w:val="0"/>
              <w:autoSpaceDN w:val="0"/>
              <w:jc w:val="center"/>
              <w:rPr>
                <w:rFonts w:ascii="仿宋" w:hAnsi="仿宋" w:eastAsia="仿宋" w:cs="仿宋"/>
                <w:szCs w:val="21"/>
                <w:lang w:eastAsia="en-US"/>
              </w:rPr>
            </w:pPr>
            <w:r>
              <w:rPr>
                <w:rFonts w:hint="eastAsia" w:ascii="仿宋" w:hAnsi="仿宋" w:eastAsia="仿宋" w:cs="仿宋"/>
                <w:szCs w:val="21"/>
                <w:lang w:eastAsia="en-US"/>
              </w:rPr>
              <w:t>柏堂村</w:t>
            </w:r>
            <w:r>
              <w:rPr>
                <w:rFonts w:ascii="仿宋" w:hAnsi="仿宋" w:eastAsia="仿宋" w:cs="仿宋"/>
                <w:szCs w:val="21"/>
                <w:lang w:eastAsia="en-US"/>
              </w:rPr>
              <w:t>更新改造项目5</w:t>
            </w:r>
          </w:p>
        </w:tc>
        <w:tc>
          <w:tcPr>
            <w:tcW w:w="508" w:type="pct"/>
            <w:vAlign w:val="center"/>
          </w:tcPr>
          <w:p w14:paraId="098E2675">
            <w:pPr>
              <w:autoSpaceDE w:val="0"/>
              <w:autoSpaceDN w:val="0"/>
              <w:jc w:val="center"/>
              <w:rPr>
                <w:rFonts w:ascii="仿宋" w:hAnsi="仿宋" w:eastAsia="仿宋" w:cs="仿宋"/>
                <w:bCs/>
                <w:kern w:val="0"/>
                <w:szCs w:val="21"/>
                <w:lang w:eastAsia="en-US"/>
              </w:rPr>
            </w:pPr>
            <w:r>
              <w:rPr>
                <w:rFonts w:ascii="仿宋" w:hAnsi="仿宋" w:eastAsia="仿宋" w:cs="仿宋"/>
                <w:bCs/>
                <w:kern w:val="0"/>
                <w:szCs w:val="21"/>
                <w:lang w:eastAsia="en-US"/>
              </w:rPr>
              <w:t>4.1711</w:t>
            </w:r>
          </w:p>
        </w:tc>
        <w:tc>
          <w:tcPr>
            <w:tcW w:w="705" w:type="pct"/>
            <w:vAlign w:val="center"/>
          </w:tcPr>
          <w:p w14:paraId="2EC8E253">
            <w:pPr>
              <w:autoSpaceDE w:val="0"/>
              <w:autoSpaceDN w:val="0"/>
              <w:jc w:val="center"/>
              <w:rPr>
                <w:rFonts w:ascii="仿宋" w:hAnsi="仿宋" w:eastAsia="仿宋" w:cs="仿宋"/>
                <w:bCs/>
                <w:kern w:val="0"/>
                <w:szCs w:val="21"/>
                <w:lang w:eastAsia="en-US"/>
              </w:rPr>
            </w:pPr>
            <w:r>
              <w:rPr>
                <w:rFonts w:ascii="仿宋" w:hAnsi="仿宋" w:eastAsia="仿宋" w:cs="仿宋"/>
                <w:bCs/>
                <w:kern w:val="0"/>
                <w:szCs w:val="21"/>
                <w:lang w:eastAsia="en-US"/>
              </w:rPr>
              <w:t>4.1711</w:t>
            </w:r>
          </w:p>
        </w:tc>
        <w:tc>
          <w:tcPr>
            <w:tcW w:w="708" w:type="pct"/>
            <w:vAlign w:val="center"/>
          </w:tcPr>
          <w:p w14:paraId="68E59001">
            <w:pPr>
              <w:autoSpaceDE w:val="0"/>
              <w:autoSpaceDN w:val="0"/>
              <w:jc w:val="center"/>
              <w:rPr>
                <w:rFonts w:ascii="仿宋" w:hAnsi="仿宋" w:eastAsia="仿宋" w:cs="仿宋"/>
                <w:szCs w:val="21"/>
                <w:lang w:eastAsia="en-US"/>
              </w:rPr>
            </w:pPr>
            <w:r>
              <w:rPr>
                <w:rFonts w:ascii="仿宋" w:hAnsi="仿宋" w:eastAsia="仿宋" w:cs="仿宋"/>
                <w:szCs w:val="21"/>
                <w:lang w:eastAsia="en-US"/>
              </w:rPr>
              <w:t>100.00%</w:t>
            </w:r>
          </w:p>
        </w:tc>
      </w:tr>
      <w:tr w14:paraId="0FE8CD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05" w:type="pct"/>
            <w:vAlign w:val="center"/>
          </w:tcPr>
          <w:p w14:paraId="09580053">
            <w:pPr>
              <w:autoSpaceDE w:val="0"/>
              <w:autoSpaceDN w:val="0"/>
              <w:jc w:val="center"/>
              <w:rPr>
                <w:rFonts w:ascii="仿宋" w:hAnsi="仿宋" w:eastAsia="仿宋" w:cs="仿宋"/>
                <w:szCs w:val="21"/>
                <w:lang w:eastAsia="en-US"/>
              </w:rPr>
            </w:pPr>
            <w:r>
              <w:rPr>
                <w:rFonts w:ascii="仿宋" w:hAnsi="仿宋" w:eastAsia="仿宋" w:cs="仿宋"/>
                <w:szCs w:val="21"/>
                <w:lang w:eastAsia="en-US"/>
              </w:rPr>
              <w:t>总计</w:t>
            </w:r>
          </w:p>
        </w:tc>
        <w:tc>
          <w:tcPr>
            <w:tcW w:w="588" w:type="pct"/>
            <w:vAlign w:val="center"/>
          </w:tcPr>
          <w:p w14:paraId="5BF99910">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20.3603</w:t>
            </w:r>
          </w:p>
        </w:tc>
        <w:tc>
          <w:tcPr>
            <w:tcW w:w="2292" w:type="pct"/>
            <w:gridSpan w:val="3"/>
            <w:vAlign w:val="center"/>
          </w:tcPr>
          <w:p w14:paraId="5E1E6611">
            <w:pPr>
              <w:autoSpaceDE w:val="0"/>
              <w:autoSpaceDN w:val="0"/>
              <w:jc w:val="center"/>
              <w:rPr>
                <w:rFonts w:ascii="仿宋" w:hAnsi="仿宋" w:eastAsia="仿宋" w:cs="仿宋"/>
                <w:szCs w:val="21"/>
                <w:lang w:eastAsia="en-US"/>
              </w:rPr>
            </w:pPr>
            <w:r>
              <w:rPr>
                <w:rFonts w:ascii="仿宋" w:hAnsi="仿宋" w:eastAsia="仿宋" w:cs="仿宋"/>
                <w:szCs w:val="21"/>
                <w:lang w:eastAsia="en-US"/>
              </w:rPr>
              <w:t>/</w:t>
            </w:r>
          </w:p>
        </w:tc>
        <w:tc>
          <w:tcPr>
            <w:tcW w:w="705" w:type="pct"/>
            <w:vAlign w:val="center"/>
          </w:tcPr>
          <w:p w14:paraId="47E8964F">
            <w:pPr>
              <w:autoSpaceDE w:val="0"/>
              <w:autoSpaceDN w:val="0"/>
              <w:jc w:val="center"/>
              <w:rPr>
                <w:rFonts w:ascii="仿宋" w:hAnsi="仿宋" w:eastAsia="仿宋" w:cs="仿宋"/>
                <w:szCs w:val="21"/>
                <w:lang w:eastAsia="en-US"/>
              </w:rPr>
            </w:pPr>
            <w:r>
              <w:rPr>
                <w:rFonts w:ascii="仿宋" w:hAnsi="仿宋" w:eastAsia="仿宋" w:cs="仿宋"/>
                <w:bCs/>
                <w:kern w:val="0"/>
                <w:szCs w:val="21"/>
                <w:lang w:eastAsia="en-US"/>
              </w:rPr>
              <w:t>20.3603</w:t>
            </w:r>
          </w:p>
        </w:tc>
        <w:tc>
          <w:tcPr>
            <w:tcW w:w="708" w:type="pct"/>
            <w:vAlign w:val="center"/>
          </w:tcPr>
          <w:p w14:paraId="78FEC55B">
            <w:pPr>
              <w:autoSpaceDE w:val="0"/>
              <w:autoSpaceDN w:val="0"/>
              <w:jc w:val="center"/>
              <w:rPr>
                <w:rFonts w:ascii="仿宋" w:hAnsi="仿宋" w:eastAsia="仿宋" w:cs="仿宋"/>
                <w:szCs w:val="21"/>
                <w:lang w:eastAsia="en-US"/>
              </w:rPr>
            </w:pPr>
            <w:r>
              <w:rPr>
                <w:rFonts w:ascii="仿宋" w:hAnsi="仿宋" w:eastAsia="仿宋" w:cs="仿宋"/>
                <w:szCs w:val="21"/>
                <w:lang w:eastAsia="en-US"/>
              </w:rPr>
              <w:t>100.00%</w:t>
            </w:r>
          </w:p>
        </w:tc>
      </w:tr>
    </w:tbl>
    <w:p w14:paraId="0406B875">
      <w:pPr>
        <w:adjustRightInd w:val="0"/>
        <w:snapToGrid w:val="0"/>
        <w:spacing w:line="360" w:lineRule="auto"/>
        <w:jc w:val="center"/>
        <w:rPr>
          <w:rFonts w:ascii="Times New Roman" w:hAnsi="Times New Roman" w:eastAsia="仿宋" w:cs="Times New Roman"/>
          <w:b/>
          <w:sz w:val="28"/>
          <w:szCs w:val="22"/>
        </w:rPr>
      </w:pPr>
    </w:p>
    <w:p w14:paraId="66EA303F">
      <w:pPr>
        <w:adjustRightInd w:val="0"/>
        <w:snapToGrid w:val="0"/>
        <w:spacing w:before="156" w:beforeLines="50" w:line="360" w:lineRule="auto"/>
        <w:outlineLvl w:val="0"/>
        <w:rPr>
          <w:rFonts w:ascii="Times New Roman" w:hAnsi="Times New Roman" w:eastAsia="仿宋" w:cs="Times New Roman"/>
          <w:b/>
          <w:bCs/>
          <w:sz w:val="30"/>
          <w:szCs w:val="30"/>
        </w:rPr>
      </w:pPr>
      <w:r>
        <w:rPr>
          <w:rFonts w:ascii="Times New Roman" w:hAnsi="Times New Roman" w:eastAsia="仿宋" w:cs="Times New Roman"/>
          <w:b/>
          <w:bCs/>
          <w:sz w:val="30"/>
          <w:szCs w:val="30"/>
        </w:rPr>
        <w:t>三、成片开发的必要性、主要用途和实现功能</w:t>
      </w:r>
    </w:p>
    <w:p w14:paraId="143A6856">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通过本次成片开发方案的编制实施，</w:t>
      </w:r>
      <w:r>
        <w:rPr>
          <w:rFonts w:hint="eastAsia" w:ascii="Times New Roman" w:hAnsi="Times New Roman" w:eastAsia="仿宋" w:cs="Times New Roman"/>
          <w:sz w:val="28"/>
          <w:szCs w:val="22"/>
        </w:rPr>
        <w:t>响应上位规划，推动“实现老城市新活力”重要指示。本次土地征收成片开发方案征收用地涉及柏堂村旧村改造中居住用地、道路用地等多种用地类型，通过聚焦城市更新，提升人居环境品质，为番禺区补齐民生设施短板、开创高质量发展局面提供发展空间。改善传统土地征收模式，提高土地集约节约利用。</w:t>
      </w:r>
      <w:r>
        <w:rPr>
          <w:rFonts w:ascii="Times New Roman" w:hAnsi="Times New Roman" w:eastAsia="仿宋" w:cs="Times New Roman"/>
          <w:sz w:val="28"/>
          <w:szCs w:val="22"/>
        </w:rPr>
        <w:t>衔接国土空间总体规划，提高土地集约节约利用。有利于统筹片区各类用地整体开发建设，发挥城市集聚效应，提高用地产出效益，提升土地利用效率。助力重大产业平台建设，推动产业链群集聚发展。推动番禺区实现产业动能转换升级、助力番禺区实现高质量发展。促进城乡融合发展，保障被征地农民合法权益。坚持以人民为中心，保障农民合法权益，注重土地节约集约节约利用，加快城乡融合，注重生态环境保护，促进番禺区经济社会可持续发展。推进基础设施和公共服务设施建设，构筑品质番禺。保障片区内公益性用地占比不低于40%，推进片区道路交通基础设施、教育、文化、医疗卫生、公园绿地等基础设施、公共服务设施和其他公益性项目建设，提升片区生产生活水平。</w:t>
      </w:r>
    </w:p>
    <w:p w14:paraId="64300242">
      <w:pPr>
        <w:adjustRightInd w:val="0"/>
        <w:snapToGrid w:val="0"/>
        <w:spacing w:line="360" w:lineRule="auto"/>
        <w:ind w:firstLine="560" w:firstLineChars="200"/>
        <w:rPr>
          <w:rFonts w:ascii="Times New Roman" w:hAnsi="Times New Roman" w:eastAsia="仿宋" w:cs="Times New Roman"/>
          <w:sz w:val="32"/>
        </w:rPr>
      </w:pPr>
      <w:r>
        <w:rPr>
          <w:rFonts w:ascii="Times New Roman" w:hAnsi="Times New Roman" w:eastAsia="仿宋" w:cs="Times New Roman"/>
          <w:sz w:val="28"/>
          <w:szCs w:val="22"/>
        </w:rPr>
        <w:t>本次土地征收成片开发方案共划定</w:t>
      </w:r>
      <w:r>
        <w:rPr>
          <w:rFonts w:hint="eastAsia" w:ascii="Times New Roman" w:hAnsi="Times New Roman" w:eastAsia="仿宋" w:cs="Times New Roman"/>
          <w:sz w:val="28"/>
          <w:szCs w:val="22"/>
        </w:rPr>
        <w:t>5</w:t>
      </w:r>
      <w:r>
        <w:rPr>
          <w:rFonts w:ascii="Times New Roman" w:hAnsi="Times New Roman" w:eastAsia="仿宋" w:cs="Times New Roman"/>
          <w:sz w:val="28"/>
          <w:szCs w:val="22"/>
        </w:rPr>
        <w:t>个成片开发片区，拟安排建设</w:t>
      </w:r>
      <w:r>
        <w:rPr>
          <w:rFonts w:hint="eastAsia" w:ascii="Times New Roman" w:hAnsi="Times New Roman" w:eastAsia="仿宋" w:cs="Times New Roman"/>
          <w:sz w:val="28"/>
          <w:szCs w:val="22"/>
        </w:rPr>
        <w:t>5</w:t>
      </w:r>
      <w:r>
        <w:rPr>
          <w:rFonts w:ascii="Times New Roman" w:hAnsi="Times New Roman" w:eastAsia="仿宋" w:cs="Times New Roman"/>
          <w:sz w:val="28"/>
          <w:szCs w:val="22"/>
        </w:rPr>
        <w:t>个项目。根据控制性详细规划，整体</w:t>
      </w:r>
      <w:r>
        <w:rPr>
          <w:rFonts w:hint="eastAsia" w:ascii="Times New Roman" w:hAnsi="Times New Roman" w:eastAsia="仿宋" w:cs="Times New Roman"/>
          <w:sz w:val="28"/>
          <w:szCs w:val="22"/>
        </w:rPr>
        <w:t>以居住用地、商业用地、公用设施用地结合道路用地、绿地形成成片开发区域。</w:t>
      </w:r>
    </w:p>
    <w:p w14:paraId="6957D02C">
      <w:pPr>
        <w:adjustRightInd w:val="0"/>
        <w:snapToGrid w:val="0"/>
        <w:spacing w:line="360" w:lineRule="auto"/>
        <w:outlineLvl w:val="0"/>
        <w:rPr>
          <w:rFonts w:ascii="Times New Roman" w:hAnsi="Times New Roman" w:eastAsia="仿宋" w:cs="Times New Roman"/>
          <w:b/>
          <w:bCs/>
          <w:sz w:val="30"/>
          <w:szCs w:val="30"/>
        </w:rPr>
      </w:pPr>
      <w:r>
        <w:rPr>
          <w:rFonts w:ascii="Times New Roman" w:hAnsi="Times New Roman" w:eastAsia="仿宋" w:cs="Times New Roman"/>
          <w:b/>
          <w:bCs/>
          <w:sz w:val="30"/>
          <w:szCs w:val="30"/>
        </w:rPr>
        <w:t>四、成片开发合规性分析</w:t>
      </w:r>
    </w:p>
    <w:p w14:paraId="69A08408">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本次土地征收成片开发方案符合国民经济和社会发展规划、国土空间</w:t>
      </w:r>
      <w:r>
        <w:rPr>
          <w:rFonts w:hint="eastAsia" w:ascii="Times New Roman" w:hAnsi="Times New Roman" w:eastAsia="仿宋" w:cs="Times New Roman"/>
          <w:sz w:val="28"/>
          <w:szCs w:val="22"/>
        </w:rPr>
        <w:t>总体</w:t>
      </w:r>
      <w:r>
        <w:rPr>
          <w:rFonts w:ascii="Times New Roman" w:hAnsi="Times New Roman" w:eastAsia="仿宋" w:cs="Times New Roman"/>
          <w:sz w:val="28"/>
          <w:szCs w:val="22"/>
        </w:rPr>
        <w:t>规划</w:t>
      </w:r>
      <w:r>
        <w:rPr>
          <w:rFonts w:hint="eastAsia" w:ascii="Times New Roman" w:hAnsi="Times New Roman" w:eastAsia="仿宋" w:cs="Times New Roman"/>
          <w:sz w:val="28"/>
          <w:szCs w:val="22"/>
        </w:rPr>
        <w:t>、控制性详细规划</w:t>
      </w:r>
      <w:r>
        <w:rPr>
          <w:rFonts w:ascii="Times New Roman" w:hAnsi="Times New Roman" w:eastAsia="仿宋" w:cs="Times New Roman"/>
          <w:sz w:val="28"/>
          <w:szCs w:val="22"/>
        </w:rPr>
        <w:t>充分衔接，不涉及占用永久基本农田和生态保护红线，严格遵守“三线一单”生态环境分区管控要求。</w:t>
      </w:r>
    </w:p>
    <w:p w14:paraId="2DBCD865">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番禺区近五年来（统计时间20</w:t>
      </w:r>
      <w:r>
        <w:rPr>
          <w:rFonts w:hint="eastAsia" w:ascii="Times New Roman" w:hAnsi="Times New Roman" w:eastAsia="仿宋" w:cs="Times New Roman"/>
          <w:sz w:val="28"/>
          <w:szCs w:val="22"/>
        </w:rPr>
        <w:t>20</w:t>
      </w:r>
      <w:r>
        <w:rPr>
          <w:rFonts w:ascii="Times New Roman" w:hAnsi="Times New Roman" w:eastAsia="仿宋" w:cs="Times New Roman"/>
          <w:sz w:val="28"/>
          <w:szCs w:val="22"/>
        </w:rPr>
        <w:t>年至20</w:t>
      </w:r>
      <w:r>
        <w:rPr>
          <w:rFonts w:hint="eastAsia" w:ascii="Times New Roman" w:hAnsi="Times New Roman" w:eastAsia="仿宋" w:cs="Times New Roman"/>
          <w:sz w:val="28"/>
          <w:szCs w:val="22"/>
        </w:rPr>
        <w:t>24</w:t>
      </w:r>
      <w:r>
        <w:rPr>
          <w:rFonts w:ascii="Times New Roman" w:hAnsi="Times New Roman" w:eastAsia="仿宋" w:cs="Times New Roman"/>
          <w:sz w:val="28"/>
          <w:szCs w:val="22"/>
        </w:rPr>
        <w:t>年）供地率大于60%；土地闲置率小于5%，不存在大量批而未供、闲置土地的情况，符合成片开发方案上报审查的要求。</w:t>
      </w:r>
    </w:p>
    <w:p w14:paraId="0C5E0602">
      <w:pPr>
        <w:adjustRightInd w:val="0"/>
        <w:snapToGrid w:val="0"/>
        <w:spacing w:line="360" w:lineRule="auto"/>
        <w:outlineLvl w:val="0"/>
        <w:rPr>
          <w:rFonts w:ascii="Times New Roman" w:hAnsi="Times New Roman" w:eastAsia="仿宋" w:cs="Times New Roman"/>
          <w:b/>
          <w:bCs/>
          <w:sz w:val="30"/>
          <w:szCs w:val="30"/>
        </w:rPr>
      </w:pPr>
      <w:r>
        <w:rPr>
          <w:rFonts w:ascii="Times New Roman" w:hAnsi="Times New Roman" w:eastAsia="仿宋" w:cs="Times New Roman"/>
          <w:b/>
          <w:bCs/>
          <w:sz w:val="30"/>
          <w:szCs w:val="30"/>
        </w:rPr>
        <w:t>五、成片开发区域内公益性用地占比</w:t>
      </w:r>
    </w:p>
    <w:p w14:paraId="3E4A8608">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本次土地征收成片开发片区内基础设施、公共服务设施和其他公益性用地</w:t>
      </w:r>
      <w:r>
        <w:rPr>
          <w:rFonts w:hint="eastAsia" w:ascii="Times New Roman" w:hAnsi="Times New Roman" w:eastAsia="仿宋" w:cs="Times New Roman"/>
          <w:sz w:val="28"/>
          <w:szCs w:val="22"/>
        </w:rPr>
        <w:t>9.4773</w:t>
      </w:r>
      <w:r>
        <w:rPr>
          <w:rFonts w:ascii="Times New Roman" w:hAnsi="Times New Roman" w:eastAsia="仿宋" w:cs="Times New Roman"/>
          <w:sz w:val="28"/>
          <w:szCs w:val="22"/>
        </w:rPr>
        <w:t>公顷，占总用地比例</w:t>
      </w:r>
      <w:r>
        <w:rPr>
          <w:rFonts w:hint="eastAsia" w:ascii="Times New Roman" w:hAnsi="Times New Roman" w:eastAsia="仿宋" w:cs="Times New Roman"/>
          <w:sz w:val="28"/>
          <w:szCs w:val="22"/>
        </w:rPr>
        <w:t>46.55</w:t>
      </w:r>
      <w:r>
        <w:rPr>
          <w:rFonts w:ascii="Times New Roman" w:hAnsi="Times New Roman" w:eastAsia="仿宋" w:cs="Times New Roman"/>
          <w:sz w:val="28"/>
          <w:szCs w:val="22"/>
        </w:rPr>
        <w:t>%，符合一个完整的土地征收成片开发范围内基础设施、公共服务设施和其他公益性用地比例一般不低于40%的要求。</w:t>
      </w:r>
    </w:p>
    <w:p w14:paraId="12FD7E6B">
      <w:pPr>
        <w:adjustRightInd w:val="0"/>
        <w:snapToGrid w:val="0"/>
        <w:spacing w:line="360" w:lineRule="auto"/>
        <w:outlineLvl w:val="0"/>
        <w:rPr>
          <w:rFonts w:ascii="Times New Roman" w:hAnsi="Times New Roman" w:eastAsia="仿宋" w:cs="Times New Roman"/>
          <w:b/>
          <w:bCs/>
          <w:sz w:val="30"/>
          <w:szCs w:val="30"/>
        </w:rPr>
      </w:pPr>
      <w:r>
        <w:rPr>
          <w:rFonts w:ascii="Times New Roman" w:hAnsi="Times New Roman" w:eastAsia="仿宋" w:cs="Times New Roman"/>
          <w:b/>
          <w:bCs/>
          <w:sz w:val="30"/>
          <w:szCs w:val="30"/>
        </w:rPr>
        <w:t>六、成片开发拟安排项目及实施计划</w:t>
      </w:r>
    </w:p>
    <w:p w14:paraId="37F65F76">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本次土地征收成片开发方案共划定</w:t>
      </w:r>
      <w:r>
        <w:rPr>
          <w:rFonts w:hint="eastAsia" w:ascii="Times New Roman" w:hAnsi="Times New Roman" w:eastAsia="仿宋" w:cs="Times New Roman"/>
          <w:sz w:val="28"/>
          <w:szCs w:val="22"/>
        </w:rPr>
        <w:t>5</w:t>
      </w:r>
      <w:r>
        <w:rPr>
          <w:rFonts w:ascii="Times New Roman" w:hAnsi="Times New Roman" w:eastAsia="仿宋" w:cs="Times New Roman"/>
          <w:sz w:val="28"/>
          <w:szCs w:val="22"/>
        </w:rPr>
        <w:t>个成片开发片区，拟安排建设</w:t>
      </w:r>
      <w:r>
        <w:rPr>
          <w:rFonts w:hint="eastAsia" w:ascii="Times New Roman" w:hAnsi="Times New Roman" w:eastAsia="仿宋" w:cs="Times New Roman"/>
          <w:sz w:val="28"/>
          <w:szCs w:val="22"/>
        </w:rPr>
        <w:t>5</w:t>
      </w:r>
      <w:r>
        <w:rPr>
          <w:rFonts w:ascii="Times New Roman" w:hAnsi="Times New Roman" w:eastAsia="仿宋" w:cs="Times New Roman"/>
          <w:sz w:val="28"/>
          <w:szCs w:val="22"/>
        </w:rPr>
        <w:t>个项目，计划于2025-202</w:t>
      </w:r>
      <w:r>
        <w:rPr>
          <w:rFonts w:hint="eastAsia" w:ascii="Times New Roman" w:hAnsi="Times New Roman" w:eastAsia="仿宋" w:cs="Times New Roman"/>
          <w:sz w:val="28"/>
          <w:szCs w:val="22"/>
        </w:rPr>
        <w:t>6</w:t>
      </w:r>
      <w:r>
        <w:rPr>
          <w:rFonts w:ascii="Times New Roman" w:hAnsi="Times New Roman" w:eastAsia="仿宋" w:cs="Times New Roman"/>
          <w:sz w:val="28"/>
          <w:szCs w:val="22"/>
        </w:rPr>
        <w:t>年实施。</w:t>
      </w:r>
    </w:p>
    <w:p w14:paraId="3B8FE3EB">
      <w:pPr>
        <w:adjustRightInd w:val="0"/>
        <w:snapToGrid w:val="0"/>
        <w:spacing w:line="360" w:lineRule="auto"/>
        <w:outlineLvl w:val="0"/>
        <w:rPr>
          <w:rFonts w:ascii="Times New Roman" w:hAnsi="Times New Roman" w:eastAsia="仿宋" w:cs="Times New Roman"/>
          <w:b/>
          <w:bCs/>
          <w:sz w:val="30"/>
          <w:szCs w:val="30"/>
        </w:rPr>
      </w:pPr>
      <w:r>
        <w:rPr>
          <w:rFonts w:ascii="Times New Roman" w:hAnsi="Times New Roman" w:eastAsia="仿宋" w:cs="Times New Roman"/>
          <w:b/>
          <w:bCs/>
          <w:sz w:val="30"/>
          <w:szCs w:val="30"/>
        </w:rPr>
        <w:t>七、成片开发效益评估</w:t>
      </w:r>
    </w:p>
    <w:p w14:paraId="58C2843F">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土地利用效益方面，本次土地征收成片开发有助于优化</w:t>
      </w:r>
      <w:r>
        <w:rPr>
          <w:rFonts w:hint="eastAsia" w:ascii="Times New Roman" w:hAnsi="Times New Roman" w:eastAsia="仿宋" w:cs="Times New Roman"/>
          <w:sz w:val="28"/>
          <w:szCs w:val="22"/>
        </w:rPr>
        <w:t>化龙镇</w:t>
      </w:r>
      <w:r>
        <w:rPr>
          <w:rFonts w:ascii="Times New Roman" w:hAnsi="Times New Roman" w:eastAsia="仿宋" w:cs="Times New Roman"/>
          <w:sz w:val="28"/>
          <w:szCs w:val="22"/>
        </w:rPr>
        <w:t>的建设用地空间格局，提高成片开发范围的土地开发利用率和片区综合容积率，提升土地节约集约利用水平，推动成片开发范围内土地高质量利用和可持续发展。</w:t>
      </w:r>
    </w:p>
    <w:p w14:paraId="2276EDAA">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经济效益方面，通过本次土地成片开发，</w:t>
      </w:r>
      <w:r>
        <w:rPr>
          <w:rFonts w:hint="eastAsia" w:ascii="Times New Roman" w:hAnsi="Times New Roman" w:eastAsia="仿宋" w:cs="Times New Roman"/>
          <w:sz w:val="28"/>
          <w:szCs w:val="22"/>
        </w:rPr>
        <w:t>使得旧村改造由单一产业结构升级为集生态、文化、产业、居住一体的多元业态结构，有利于优化经济结构和推动产业升级，促进产业基础高级化、产业链现代化。同时随着产业升级、配套设施完善、土地价值提高，都将提升居民居住体验，带动区域经济发展。</w:t>
      </w:r>
    </w:p>
    <w:p w14:paraId="5744B2AD">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社会效益方面，通过本次土地成片开发，发展重点地区居住、工业、商业商务、公服配套设施等功能，有利于加速城市建设与配套服务设施落地，提升城市形象界面，建设宜居生活环境，提升居民幸福感；提供更多工作岗位，带动就业与常住人口。</w:t>
      </w:r>
    </w:p>
    <w:p w14:paraId="6B36063B">
      <w:pPr>
        <w:adjustRightInd w:val="0"/>
        <w:snapToGrid w:val="0"/>
        <w:spacing w:line="360" w:lineRule="auto"/>
        <w:ind w:firstLine="560" w:firstLineChars="200"/>
        <w:rPr>
          <w:rFonts w:ascii="Times New Roman" w:hAnsi="Times New Roman" w:eastAsia="仿宋" w:cs="Times New Roman"/>
          <w:sz w:val="28"/>
          <w:szCs w:val="22"/>
        </w:rPr>
      </w:pPr>
      <w:r>
        <w:rPr>
          <w:rFonts w:ascii="Times New Roman" w:hAnsi="Times New Roman" w:eastAsia="仿宋" w:cs="Times New Roman"/>
          <w:sz w:val="28"/>
          <w:szCs w:val="22"/>
        </w:rPr>
        <w:t>生态效益方面，本次成片开发范围内的开发建设将转变现有农用地为建设用地，主要用途为现代服务业、高品质居住及公共服务配套项目。</w:t>
      </w:r>
    </w:p>
    <w:p w14:paraId="605D41CD">
      <w:pPr>
        <w:adjustRightInd w:val="0"/>
        <w:snapToGrid w:val="0"/>
        <w:spacing w:line="360" w:lineRule="auto"/>
        <w:outlineLvl w:val="0"/>
        <w:rPr>
          <w:rFonts w:ascii="Times New Roman" w:hAnsi="Times New Roman" w:eastAsia="仿宋" w:cs="Times New Roman"/>
          <w:b/>
          <w:bCs/>
          <w:sz w:val="30"/>
          <w:szCs w:val="30"/>
        </w:rPr>
      </w:pPr>
      <w:r>
        <w:rPr>
          <w:rFonts w:ascii="Times New Roman" w:hAnsi="Times New Roman" w:eastAsia="仿宋" w:cs="Times New Roman"/>
          <w:b/>
          <w:bCs/>
          <w:sz w:val="30"/>
          <w:szCs w:val="30"/>
        </w:rPr>
        <w:t>八、结论</w:t>
      </w:r>
    </w:p>
    <w:p w14:paraId="5E947643">
      <w:pPr>
        <w:adjustRightInd w:val="0"/>
        <w:snapToGrid w:val="0"/>
        <w:spacing w:line="360" w:lineRule="auto"/>
        <w:ind w:firstLine="560" w:firstLineChars="200"/>
        <w:rPr>
          <w:rFonts w:ascii="Times New Roman" w:hAnsi="Times New Roman" w:eastAsia="仿宋" w:cs="Times New Roman"/>
          <w:sz w:val="28"/>
          <w:szCs w:val="22"/>
        </w:rPr>
        <w:sectPr>
          <w:footerReference r:id="rId3" w:type="default"/>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sz w:val="28"/>
          <w:szCs w:val="22"/>
        </w:rPr>
        <w:t>综上所述，《广州市番禺区202</w:t>
      </w:r>
      <w:r>
        <w:rPr>
          <w:rFonts w:hint="eastAsia" w:ascii="Times New Roman" w:hAnsi="Times New Roman" w:eastAsia="仿宋" w:cs="Times New Roman"/>
          <w:sz w:val="28"/>
          <w:szCs w:val="22"/>
        </w:rPr>
        <w:t>5</w:t>
      </w:r>
      <w:r>
        <w:rPr>
          <w:rFonts w:ascii="Times New Roman" w:hAnsi="Times New Roman" w:eastAsia="仿宋" w:cs="Times New Roman"/>
          <w:sz w:val="28"/>
          <w:szCs w:val="22"/>
        </w:rPr>
        <w:t>年度土地征收成片开发方案（第</w:t>
      </w:r>
      <w:r>
        <w:rPr>
          <w:rFonts w:hint="eastAsia" w:ascii="Times New Roman" w:hAnsi="Times New Roman" w:eastAsia="仿宋" w:cs="Times New Roman"/>
          <w:sz w:val="28"/>
          <w:szCs w:val="22"/>
        </w:rPr>
        <w:t>一</w:t>
      </w:r>
      <w:r>
        <w:rPr>
          <w:rFonts w:ascii="Times New Roman" w:hAnsi="Times New Roman" w:eastAsia="仿宋" w:cs="Times New Roman"/>
          <w:sz w:val="28"/>
          <w:szCs w:val="22"/>
        </w:rPr>
        <w:t>批）》符合</w:t>
      </w:r>
      <w:r>
        <w:rPr>
          <w:rFonts w:hint="eastAsia" w:ascii="Times New Roman" w:hAnsi="Times New Roman" w:eastAsia="仿宋" w:cs="Times New Roman"/>
          <w:sz w:val="28"/>
          <w:szCs w:val="22"/>
        </w:rPr>
        <w:t>《自然资源部关于印发&lt;土地征收成片开发标准&gt;的通知》（自然资规〔2023〕7号）</w:t>
      </w:r>
      <w:r>
        <w:rPr>
          <w:rFonts w:ascii="Times New Roman" w:hAnsi="Times New Roman" w:eastAsia="仿宋" w:cs="Times New Roman"/>
          <w:sz w:val="28"/>
          <w:szCs w:val="22"/>
        </w:rPr>
        <w:t>、《广东省自然资源厅关于规范土地征收成片开发工作的通知》（粤自然资发〔2021〕20号）的要求。</w:t>
      </w:r>
    </w:p>
    <w:p w14:paraId="75D6A8D4">
      <w:pPr>
        <w:adjustRightInd w:val="0"/>
        <w:snapToGrid w:val="0"/>
        <w:jc w:val="center"/>
        <w:rPr>
          <w:b/>
          <w:sz w:val="28"/>
          <w:szCs w:val="28"/>
        </w:rPr>
      </w:pPr>
    </w:p>
    <w:p w14:paraId="2FF71E8F">
      <w:pPr>
        <w:adjustRightInd w:val="0"/>
        <w:snapToGrid w:val="0"/>
        <w:jc w:val="center"/>
        <w:rPr>
          <w:b/>
          <w:sz w:val="28"/>
          <w:szCs w:val="28"/>
        </w:rPr>
      </w:pPr>
      <w:r>
        <w:drawing>
          <wp:anchor distT="0" distB="0" distL="0" distR="0" simplePos="0" relativeHeight="251660288" behindDoc="0" locked="0" layoutInCell="1" allowOverlap="1">
            <wp:simplePos x="0" y="0"/>
            <wp:positionH relativeFrom="page">
              <wp:posOffset>1796415</wp:posOffset>
            </wp:positionH>
            <wp:positionV relativeFrom="paragraph">
              <wp:posOffset>6350</wp:posOffset>
            </wp:positionV>
            <wp:extent cx="12047220" cy="8518525"/>
            <wp:effectExtent l="0" t="0" r="11430" b="15875"/>
            <wp:wrapTopAndBottom/>
            <wp:docPr id="33" name="image17.jpeg" descr="E:/2025年项目/01化龙镇柏堂村成片连片开发方案/出图/导出图片/化龙镇柏堂村成片连片开发方案_04.jpg化龙镇柏堂村成片连片开发方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descr="E:/2025年项目/01化龙镇柏堂村成片连片开发方案/出图/导出图片/化龙镇柏堂村成片连片开发方案_04.jpg化龙镇柏堂村成片连片开发方案_04"/>
                    <pic:cNvPicPr>
                      <a:picLocks noChangeAspect="1"/>
                    </pic:cNvPicPr>
                  </pic:nvPicPr>
                  <pic:blipFill>
                    <a:blip r:embed="rId5"/>
                    <a:srcRect t="21" b="21"/>
                    <a:stretch>
                      <a:fillRect/>
                    </a:stretch>
                  </pic:blipFill>
                  <pic:spPr>
                    <a:xfrm>
                      <a:off x="0" y="0"/>
                      <a:ext cx="12047220" cy="8518525"/>
                    </a:xfrm>
                    <a:prstGeom prst="rect">
                      <a:avLst/>
                    </a:prstGeom>
                  </pic:spPr>
                </pic:pic>
              </a:graphicData>
            </a:graphic>
          </wp:anchor>
        </w:drawing>
      </w:r>
      <w:r>
        <w:rPr>
          <w:rFonts w:hint="eastAsia"/>
          <w:b/>
          <w:sz w:val="28"/>
          <w:szCs w:val="28"/>
        </w:rPr>
        <w:t>图：成片开发范围总体分布示意图</w:t>
      </w:r>
    </w:p>
    <w:p w14:paraId="2B11AD47">
      <w:pPr>
        <w:rPr>
          <w:b/>
          <w:sz w:val="28"/>
          <w:szCs w:val="28"/>
        </w:rPr>
      </w:pPr>
      <w:r>
        <w:rPr>
          <w:rFonts w:hint="eastAsia"/>
          <w:b/>
          <w:sz w:val="28"/>
          <w:szCs w:val="28"/>
        </w:rPr>
        <w:br w:type="page"/>
      </w:r>
    </w:p>
    <w:p w14:paraId="1A931D86">
      <w:pPr>
        <w:adjustRightInd w:val="0"/>
        <w:snapToGrid w:val="0"/>
        <w:jc w:val="center"/>
      </w:pPr>
    </w:p>
    <w:p w14:paraId="4C4BD4D1">
      <w:pPr>
        <w:adjustRightInd w:val="0"/>
        <w:snapToGrid w:val="0"/>
        <w:jc w:val="center"/>
      </w:pPr>
      <w:r>
        <w:drawing>
          <wp:anchor distT="0" distB="0" distL="0" distR="0" simplePos="0" relativeHeight="251661312" behindDoc="0" locked="0" layoutInCell="1" allowOverlap="1">
            <wp:simplePos x="0" y="0"/>
            <wp:positionH relativeFrom="page">
              <wp:posOffset>1932305</wp:posOffset>
            </wp:positionH>
            <wp:positionV relativeFrom="paragraph">
              <wp:posOffset>69215</wp:posOffset>
            </wp:positionV>
            <wp:extent cx="11922125" cy="8430260"/>
            <wp:effectExtent l="0" t="0" r="3175" b="8890"/>
            <wp:wrapTopAndBottom/>
            <wp:docPr id="35" name="image18.jpeg" descr="E:/2025年项目/01化龙镇柏堂村成片连片开发方案/出图/导出图片/化龙镇柏堂村成片连片开发方案_01.jpg化龙镇柏堂村成片连片开发方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descr="E:/2025年项目/01化龙镇柏堂村成片连片开发方案/出图/导出图片/化龙镇柏堂村成片连片开发方案_01.jpg化龙镇柏堂村成片连片开发方案_01"/>
                    <pic:cNvPicPr>
                      <a:picLocks noChangeAspect="1"/>
                    </pic:cNvPicPr>
                  </pic:nvPicPr>
                  <pic:blipFill>
                    <a:blip r:embed="rId6"/>
                    <a:srcRect t="18" b="18"/>
                    <a:stretch>
                      <a:fillRect/>
                    </a:stretch>
                  </pic:blipFill>
                  <pic:spPr>
                    <a:xfrm>
                      <a:off x="0" y="0"/>
                      <a:ext cx="11922125" cy="8430260"/>
                    </a:xfrm>
                    <a:prstGeom prst="rect">
                      <a:avLst/>
                    </a:prstGeom>
                  </pic:spPr>
                </pic:pic>
              </a:graphicData>
            </a:graphic>
          </wp:anchor>
        </w:drawing>
      </w:r>
      <w:r>
        <w:rPr>
          <w:rFonts w:hint="eastAsia"/>
          <w:b/>
          <w:sz w:val="28"/>
          <w:szCs w:val="28"/>
        </w:rPr>
        <w:t>图：成片开发范围和拟安排建设项目范围示意图</w:t>
      </w:r>
    </w:p>
    <w:sectPr>
      <w:pgSz w:w="23811" w:h="16838"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86F6C">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AAA54">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6FAAA54">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trackRevisions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wZmFmNjcxMWE4NGQ2YTFjYjQ5MGU3ZmEzNjg1ZDMifQ=="/>
  </w:docVars>
  <w:rsids>
    <w:rsidRoot w:val="00172A27"/>
    <w:rsid w:val="0003196A"/>
    <w:rsid w:val="000416CF"/>
    <w:rsid w:val="000A4F7B"/>
    <w:rsid w:val="000C1B34"/>
    <w:rsid w:val="000C2A60"/>
    <w:rsid w:val="00114B9A"/>
    <w:rsid w:val="0012747B"/>
    <w:rsid w:val="0015708F"/>
    <w:rsid w:val="00172A27"/>
    <w:rsid w:val="001832AE"/>
    <w:rsid w:val="00183B19"/>
    <w:rsid w:val="00195C45"/>
    <w:rsid w:val="00220367"/>
    <w:rsid w:val="00245FD1"/>
    <w:rsid w:val="00273F99"/>
    <w:rsid w:val="00282EBD"/>
    <w:rsid w:val="002A5AA8"/>
    <w:rsid w:val="00325614"/>
    <w:rsid w:val="00342CFD"/>
    <w:rsid w:val="00350226"/>
    <w:rsid w:val="003566FF"/>
    <w:rsid w:val="00376B7F"/>
    <w:rsid w:val="0038182F"/>
    <w:rsid w:val="003958BF"/>
    <w:rsid w:val="003C6780"/>
    <w:rsid w:val="003E0ACD"/>
    <w:rsid w:val="00404C5A"/>
    <w:rsid w:val="004176FB"/>
    <w:rsid w:val="00474B95"/>
    <w:rsid w:val="004750B9"/>
    <w:rsid w:val="004B7DAD"/>
    <w:rsid w:val="004C1AAF"/>
    <w:rsid w:val="004F0034"/>
    <w:rsid w:val="00507022"/>
    <w:rsid w:val="00521026"/>
    <w:rsid w:val="00526CF9"/>
    <w:rsid w:val="00543FC2"/>
    <w:rsid w:val="005C0EB7"/>
    <w:rsid w:val="005D040E"/>
    <w:rsid w:val="005D1944"/>
    <w:rsid w:val="00642164"/>
    <w:rsid w:val="0066580E"/>
    <w:rsid w:val="00682D5E"/>
    <w:rsid w:val="00690D8F"/>
    <w:rsid w:val="00696840"/>
    <w:rsid w:val="006B7F37"/>
    <w:rsid w:val="006D4EDF"/>
    <w:rsid w:val="006D5A86"/>
    <w:rsid w:val="006D604F"/>
    <w:rsid w:val="00721D67"/>
    <w:rsid w:val="0076478A"/>
    <w:rsid w:val="007A7983"/>
    <w:rsid w:val="007F2C19"/>
    <w:rsid w:val="008061DF"/>
    <w:rsid w:val="00814B88"/>
    <w:rsid w:val="00840F37"/>
    <w:rsid w:val="00855DD1"/>
    <w:rsid w:val="008B2FB1"/>
    <w:rsid w:val="008D7F71"/>
    <w:rsid w:val="008E1803"/>
    <w:rsid w:val="009019FE"/>
    <w:rsid w:val="00922079"/>
    <w:rsid w:val="00936351"/>
    <w:rsid w:val="009573CF"/>
    <w:rsid w:val="009C2EDA"/>
    <w:rsid w:val="009D66F7"/>
    <w:rsid w:val="009E5154"/>
    <w:rsid w:val="00A174CF"/>
    <w:rsid w:val="00A92755"/>
    <w:rsid w:val="00A93045"/>
    <w:rsid w:val="00AA4EEE"/>
    <w:rsid w:val="00AB438B"/>
    <w:rsid w:val="00AD557D"/>
    <w:rsid w:val="00AD7CD1"/>
    <w:rsid w:val="00AF34D5"/>
    <w:rsid w:val="00B06525"/>
    <w:rsid w:val="00B43AA7"/>
    <w:rsid w:val="00B55CDD"/>
    <w:rsid w:val="00B7107A"/>
    <w:rsid w:val="00B7794C"/>
    <w:rsid w:val="00B81FE6"/>
    <w:rsid w:val="00BA6830"/>
    <w:rsid w:val="00C0047A"/>
    <w:rsid w:val="00C32033"/>
    <w:rsid w:val="00C34124"/>
    <w:rsid w:val="00C41A50"/>
    <w:rsid w:val="00C41F9A"/>
    <w:rsid w:val="00C46342"/>
    <w:rsid w:val="00C53010"/>
    <w:rsid w:val="00C97CA1"/>
    <w:rsid w:val="00CE4382"/>
    <w:rsid w:val="00D8253A"/>
    <w:rsid w:val="00DD4FA0"/>
    <w:rsid w:val="00DE65D6"/>
    <w:rsid w:val="00E33033"/>
    <w:rsid w:val="00E70679"/>
    <w:rsid w:val="00E75E02"/>
    <w:rsid w:val="00E80A29"/>
    <w:rsid w:val="00EA7731"/>
    <w:rsid w:val="00EB4773"/>
    <w:rsid w:val="00ED4EDA"/>
    <w:rsid w:val="00F05724"/>
    <w:rsid w:val="00F13499"/>
    <w:rsid w:val="00F6614B"/>
    <w:rsid w:val="00FA42E4"/>
    <w:rsid w:val="05CC6DB2"/>
    <w:rsid w:val="074C3905"/>
    <w:rsid w:val="075257E2"/>
    <w:rsid w:val="07E02600"/>
    <w:rsid w:val="083C66D5"/>
    <w:rsid w:val="08944299"/>
    <w:rsid w:val="08D277FF"/>
    <w:rsid w:val="0F7C4373"/>
    <w:rsid w:val="0F7D410D"/>
    <w:rsid w:val="104F7363"/>
    <w:rsid w:val="138C3FE3"/>
    <w:rsid w:val="15240AE4"/>
    <w:rsid w:val="1699571A"/>
    <w:rsid w:val="16CC5FFC"/>
    <w:rsid w:val="175043E5"/>
    <w:rsid w:val="18312669"/>
    <w:rsid w:val="190953DC"/>
    <w:rsid w:val="191C4B6E"/>
    <w:rsid w:val="19C16258"/>
    <w:rsid w:val="1A1C4E4B"/>
    <w:rsid w:val="1A70129E"/>
    <w:rsid w:val="1C4526C3"/>
    <w:rsid w:val="1CF802D1"/>
    <w:rsid w:val="1D0F5CC5"/>
    <w:rsid w:val="1DE60061"/>
    <w:rsid w:val="1E097C22"/>
    <w:rsid w:val="1EC176A7"/>
    <w:rsid w:val="1F823523"/>
    <w:rsid w:val="20BE2485"/>
    <w:rsid w:val="2250181B"/>
    <w:rsid w:val="22B642E7"/>
    <w:rsid w:val="23ED14A0"/>
    <w:rsid w:val="26DF652C"/>
    <w:rsid w:val="27976B61"/>
    <w:rsid w:val="29490053"/>
    <w:rsid w:val="2C500D2E"/>
    <w:rsid w:val="2DAF0A89"/>
    <w:rsid w:val="2E5074CA"/>
    <w:rsid w:val="30EA55DA"/>
    <w:rsid w:val="320530AA"/>
    <w:rsid w:val="328358B5"/>
    <w:rsid w:val="34224B76"/>
    <w:rsid w:val="34F511A0"/>
    <w:rsid w:val="374260F0"/>
    <w:rsid w:val="38B672F7"/>
    <w:rsid w:val="3AF85354"/>
    <w:rsid w:val="3BF27F4A"/>
    <w:rsid w:val="3C291C62"/>
    <w:rsid w:val="40E62A45"/>
    <w:rsid w:val="413C5119"/>
    <w:rsid w:val="41B664E3"/>
    <w:rsid w:val="421637AE"/>
    <w:rsid w:val="4575746B"/>
    <w:rsid w:val="48130ACF"/>
    <w:rsid w:val="48207507"/>
    <w:rsid w:val="48670333"/>
    <w:rsid w:val="48DF0D82"/>
    <w:rsid w:val="4AD27EF9"/>
    <w:rsid w:val="4B351205"/>
    <w:rsid w:val="4B53743D"/>
    <w:rsid w:val="4BA71B61"/>
    <w:rsid w:val="508C382E"/>
    <w:rsid w:val="513F59FA"/>
    <w:rsid w:val="51BF7780"/>
    <w:rsid w:val="52EB7B09"/>
    <w:rsid w:val="53A9454A"/>
    <w:rsid w:val="5749363E"/>
    <w:rsid w:val="58E12FB3"/>
    <w:rsid w:val="5BF43E8D"/>
    <w:rsid w:val="5C690D2C"/>
    <w:rsid w:val="5CCE3A33"/>
    <w:rsid w:val="5CF85CC9"/>
    <w:rsid w:val="5DAB2B1B"/>
    <w:rsid w:val="5DC479DC"/>
    <w:rsid w:val="5DEB563E"/>
    <w:rsid w:val="60934D73"/>
    <w:rsid w:val="61074F4F"/>
    <w:rsid w:val="61106106"/>
    <w:rsid w:val="63E871D1"/>
    <w:rsid w:val="64F554E7"/>
    <w:rsid w:val="65ED3CB5"/>
    <w:rsid w:val="67071607"/>
    <w:rsid w:val="68992D90"/>
    <w:rsid w:val="69794B21"/>
    <w:rsid w:val="6A7812BA"/>
    <w:rsid w:val="6B550806"/>
    <w:rsid w:val="6CB17718"/>
    <w:rsid w:val="72BA6AFA"/>
    <w:rsid w:val="739328B1"/>
    <w:rsid w:val="75343647"/>
    <w:rsid w:val="75556375"/>
    <w:rsid w:val="779C1E19"/>
    <w:rsid w:val="799A59D5"/>
    <w:rsid w:val="79A72A5A"/>
    <w:rsid w:val="79D731B3"/>
    <w:rsid w:val="7B46540A"/>
    <w:rsid w:val="7C0A391A"/>
    <w:rsid w:val="7D583F07"/>
    <w:rsid w:val="7DD046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pageBreakBefore/>
      <w:spacing w:before="340" w:after="330" w:line="360" w:lineRule="auto"/>
      <w:jc w:val="center"/>
      <w:outlineLvl w:val="0"/>
    </w:pPr>
    <w:rPr>
      <w:rFonts w:eastAsia="黑体"/>
      <w:b/>
      <w:bCs/>
      <w:kern w:val="44"/>
      <w:sz w:val="44"/>
      <w:szCs w:val="44"/>
    </w:rPr>
  </w:style>
  <w:style w:type="paragraph" w:styleId="3">
    <w:name w:val="heading 2"/>
    <w:basedOn w:val="1"/>
    <w:next w:val="1"/>
    <w:unhideWhenUsed/>
    <w:qFormat/>
    <w:uiPriority w:val="9"/>
    <w:pPr>
      <w:keepNext/>
      <w:keepLines/>
      <w:spacing w:before="260" w:after="260" w:line="360" w:lineRule="auto"/>
      <w:outlineLvl w:val="1"/>
    </w:pPr>
    <w:rPr>
      <w:rFonts w:ascii="黑体" w:hAnsi="黑体" w:eastAsia="黑体" w:cstheme="majorBidi"/>
      <w:bCs/>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rPr>
      <w:sz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表格"/>
    <w:basedOn w:val="1"/>
    <w:qFormat/>
    <w:uiPriority w:val="0"/>
    <w:pPr>
      <w:widowControl/>
      <w:jc w:val="center"/>
      <w:textAlignment w:val="center"/>
    </w:pPr>
    <w:rPr>
      <w:rFonts w:hint="eastAsia" w:ascii="宋体" w:hAnsi="宋体" w:eastAsia="宋体" w:cs="Times New Roman"/>
      <w:bCs/>
      <w:color w:val="000000"/>
      <w:kern w:val="0"/>
      <w:sz w:val="22"/>
    </w:rPr>
  </w:style>
  <w:style w:type="character" w:customStyle="1" w:styleId="11">
    <w:name w:val="页眉 Char"/>
    <w:basedOn w:val="9"/>
    <w:link w:val="5"/>
    <w:qFormat/>
    <w:uiPriority w:val="0"/>
    <w:rPr>
      <w:rFonts w:asciiTheme="minorHAnsi" w:hAnsiTheme="minorHAnsi" w:eastAsiaTheme="minorEastAsia" w:cstheme="minorBidi"/>
      <w:kern w:val="2"/>
      <w:sz w:val="18"/>
      <w:szCs w:val="18"/>
    </w:rPr>
  </w:style>
  <w:style w:type="character" w:customStyle="1" w:styleId="12">
    <w:name w:val="页脚 Char"/>
    <w:basedOn w:val="9"/>
    <w:link w:val="4"/>
    <w:qFormat/>
    <w:uiPriority w:val="0"/>
    <w:rPr>
      <w:rFonts w:asciiTheme="minorHAnsi" w:hAnsiTheme="minorHAnsi" w:eastAsiaTheme="minorEastAsia" w:cstheme="minorBidi"/>
      <w:kern w:val="2"/>
      <w:sz w:val="18"/>
      <w:szCs w:val="18"/>
    </w:rPr>
  </w:style>
  <w:style w:type="table" w:customStyle="1" w:styleId="13">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351</Words>
  <Characters>2002</Characters>
  <Lines>16</Lines>
  <Paragraphs>4</Paragraphs>
  <TotalTime>16</TotalTime>
  <ScaleCrop>false</ScaleCrop>
  <LinksUpToDate>false</LinksUpToDate>
  <CharactersWithSpaces>2349</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2024-07-23T03:27:00Z</dcterms:created>
  <dc:creator>Administrator</dc:creator>
  <cp:lastModifiedBy>郭泳仪</cp:lastModifiedBy>
  <cp:lastPrinted>2024-07-23T03:27:00Z</cp:lastPrinted>
  <dcterms:modified xsi:type="dcterms:W3CDTF">2025-05-28T09:18:27Z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08237D731CF54FBEA2C62C37CF354D93</vt:lpwstr>
  </property>
  <property fmtid="{D5CDD505-2E9C-101B-9397-08002B2CF9AE}" pid="4" name="KSOTemplateDocerSaveRecord">
    <vt:lpwstr>eyJoZGlkIjoiZGQ1MGM5NjRmMjhjOGVlMTBiNGUzZjU0NmI0N2JiNDIiLCJ1c2VySWQiOiI1MTI4NDA4ODYifQ==</vt:lpwstr>
  </property>
</Properties>
</file>