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FEA8">
      <w:pPr>
        <w:widowControl w:val="0"/>
        <w:numPr>
          <w:ilvl w:val="0"/>
          <w:numId w:val="0"/>
        </w:numPr>
        <w:spacing w:line="360" w:lineRule="auto"/>
        <w:ind w:leftChars="0"/>
        <w:jc w:val="center"/>
        <w:outlineLvl w:val="1"/>
        <w:rPr>
          <w:rFonts w:hint="eastAsia" w:ascii="宋体" w:hAnsi="宋体" w:cs="宋体"/>
          <w:b/>
          <w:bCs/>
          <w:color w:val="auto"/>
          <w:sz w:val="28"/>
          <w:szCs w:val="28"/>
          <w:highlight w:val="none"/>
        </w:rPr>
      </w:pPr>
      <w:bookmarkStart w:id="0" w:name="_Toc519164408"/>
      <w:bookmarkStart w:id="1" w:name="_Toc5786"/>
      <w:bookmarkStart w:id="2" w:name="_Toc19878"/>
      <w:bookmarkStart w:id="3" w:name="_Toc25829"/>
      <w:bookmarkStart w:id="4" w:name="_Toc9318"/>
      <w:bookmarkStart w:id="5" w:name="_Toc497687620"/>
      <w:bookmarkStart w:id="6" w:name="_Toc526766040"/>
      <w:bookmarkStart w:id="7" w:name="_Toc22879"/>
      <w:bookmarkStart w:id="8" w:name="_Toc32385"/>
      <w:bookmarkStart w:id="9" w:name="_Toc519164554"/>
      <w:bookmarkStart w:id="10" w:name="_Toc3918"/>
      <w:bookmarkStart w:id="11" w:name="_Toc2416"/>
      <w:bookmarkStart w:id="12" w:name="_Toc948"/>
      <w:bookmarkStart w:id="13" w:name="_Toc2013"/>
      <w:bookmarkStart w:id="14" w:name="_Toc10272"/>
      <w:bookmarkStart w:id="15" w:name="_Toc30935"/>
      <w:bookmarkStart w:id="16" w:name="_Toc502737320"/>
      <w:bookmarkStart w:id="17" w:name="_Toc497225723"/>
      <w:bookmarkStart w:id="18" w:name="_Toc4759"/>
      <w:bookmarkStart w:id="19" w:name="_Toc12399"/>
      <w:bookmarkStart w:id="20" w:name="_Toc532567233"/>
      <w:bookmarkStart w:id="21" w:name="_Toc12509"/>
      <w:bookmarkStart w:id="22" w:name="_Toc32424"/>
      <w:bookmarkStart w:id="23" w:name="_Toc27248"/>
      <w:bookmarkStart w:id="24" w:name="_Toc50276153"/>
      <w:bookmarkStart w:id="25" w:name="_Toc42394669"/>
      <w:bookmarkStart w:id="26" w:name="_Toc98579007"/>
      <w:bookmarkStart w:id="27" w:name="_Toc469512914"/>
      <w:bookmarkStart w:id="28" w:name="_Toc41884701"/>
      <w:bookmarkStart w:id="29" w:name="_Toc98579065"/>
      <w:bookmarkStart w:id="30" w:name="_Toc42313167"/>
      <w:bookmarkStart w:id="31" w:name="_Toc469512688"/>
      <w:bookmarkStart w:id="32" w:name="_Toc42394513"/>
      <w:bookmarkStart w:id="33" w:name="_Toc98579606"/>
      <w:bookmarkStart w:id="34" w:name="_Toc98580289"/>
      <w:bookmarkStart w:id="35" w:name="_Toc41723931"/>
      <w:r>
        <w:rPr>
          <w:rFonts w:hint="eastAsia" w:ascii="宋体" w:hAnsi="宋体" w:cs="宋体"/>
          <w:b/>
          <w:bCs/>
          <w:color w:val="auto"/>
          <w:sz w:val="28"/>
          <w:szCs w:val="28"/>
          <w:highlight w:val="none"/>
        </w:rPr>
        <w:t>评审规则</w:t>
      </w:r>
    </w:p>
    <w:p w14:paraId="0E88AB38">
      <w:pPr>
        <w:widowControl w:val="0"/>
        <w:numPr>
          <w:ilvl w:val="0"/>
          <w:numId w:val="1"/>
        </w:numPr>
        <w:spacing w:line="360" w:lineRule="auto"/>
        <w:ind w:left="567" w:leftChars="0" w:hanging="567" w:firstLineChars="0"/>
        <w:outlineLvl w:val="1"/>
        <w:rPr>
          <w:rFonts w:hint="eastAsia" w:ascii="宋体" w:hAnsi="宋体" w:cs="宋体"/>
          <w:b/>
          <w:bCs/>
          <w:color w:val="auto"/>
          <w:szCs w:val="21"/>
          <w:highlight w:val="none"/>
        </w:rPr>
      </w:pPr>
      <w:bookmarkStart w:id="36" w:name="_Toc28925"/>
      <w:bookmarkStart w:id="37" w:name="_Toc12664"/>
      <w:bookmarkStart w:id="38" w:name="_Toc2546"/>
      <w:bookmarkStart w:id="39" w:name="_Toc26249"/>
      <w:r>
        <w:rPr>
          <w:rFonts w:hint="eastAsia" w:ascii="宋体" w:hAnsi="宋体" w:cs="宋体"/>
          <w:b/>
          <w:bCs/>
          <w:color w:val="auto"/>
          <w:szCs w:val="21"/>
          <w:highlight w:val="none"/>
        </w:rPr>
        <w:t>磋商</w:t>
      </w:r>
      <w:bookmarkEnd w:id="36"/>
      <w:bookmarkEnd w:id="37"/>
      <w:bookmarkEnd w:id="38"/>
      <w:bookmarkEnd w:id="39"/>
    </w:p>
    <w:p w14:paraId="33B0E106">
      <w:pPr>
        <w:numPr>
          <w:ilvl w:val="0"/>
          <w:numId w:val="2"/>
        </w:numPr>
        <w:tabs>
          <w:tab w:val="left" w:pos="0"/>
        </w:tabs>
        <w:spacing w:line="360" w:lineRule="auto"/>
        <w:ind w:left="0" w:firstLine="426"/>
        <w:jc w:val="both"/>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采购代理机构在采购文件规定的日期、时间和地点组织磋商，供应商在响应文件递交截止时间后30分钟内进行响应文件解密。</w:t>
      </w:r>
    </w:p>
    <w:p w14:paraId="4E5CED6B">
      <w:pPr>
        <w:numPr>
          <w:ilvl w:val="0"/>
          <w:numId w:val="2"/>
        </w:numPr>
        <w:tabs>
          <w:tab w:val="left" w:pos="0"/>
        </w:tabs>
        <w:spacing w:line="360" w:lineRule="auto"/>
        <w:ind w:left="0" w:firstLine="426"/>
        <w:jc w:val="both"/>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解密时间截止后，广咨电子招投标交易平台自动提取所有响应文件，获取响应文件提交及解密情况。</w:t>
      </w:r>
    </w:p>
    <w:p w14:paraId="00A066C9">
      <w:pPr>
        <w:numPr>
          <w:ilvl w:val="0"/>
          <w:numId w:val="2"/>
        </w:numPr>
        <w:tabs>
          <w:tab w:val="left" w:pos="0"/>
        </w:tabs>
        <w:spacing w:line="360" w:lineRule="auto"/>
        <w:ind w:left="0" w:firstLine="426"/>
        <w:jc w:val="both"/>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电子开标系统自动记录响应文件提交及解密情况。因供应商原因造成响应文件未提交成功的、未解密的、无法导入电子开标系统的，作无效报价处理</w:t>
      </w:r>
      <w:r>
        <w:rPr>
          <w:rFonts w:hint="eastAsia" w:ascii="宋体" w:hAnsi="宋体" w:cs="宋体"/>
          <w:b w:val="0"/>
          <w:bCs w:val="0"/>
          <w:color w:val="auto"/>
          <w:szCs w:val="21"/>
          <w:highlight w:val="none"/>
          <w:lang w:eastAsia="zh-CN"/>
        </w:rPr>
        <w:t>。</w:t>
      </w:r>
    </w:p>
    <w:p w14:paraId="76310FE9">
      <w:pPr>
        <w:widowControl w:val="0"/>
        <w:numPr>
          <w:ilvl w:val="0"/>
          <w:numId w:val="0"/>
        </w:numPr>
        <w:spacing w:line="360" w:lineRule="auto"/>
        <w:ind w:leftChars="0"/>
        <w:outlineLvl w:val="1"/>
        <w:rPr>
          <w:rFonts w:hint="eastAsia" w:ascii="宋体" w:hAnsi="宋体" w:cs="宋体"/>
          <w:b w:val="0"/>
          <w:bCs w:val="0"/>
          <w:color w:val="auto"/>
          <w:szCs w:val="21"/>
          <w:highlight w:val="none"/>
        </w:rPr>
      </w:pPr>
    </w:p>
    <w:p w14:paraId="34F1A001">
      <w:pPr>
        <w:widowControl w:val="0"/>
        <w:numPr>
          <w:ilvl w:val="0"/>
          <w:numId w:val="1"/>
        </w:numPr>
        <w:spacing w:line="360" w:lineRule="auto"/>
        <w:ind w:left="567" w:leftChars="0" w:hanging="567" w:firstLineChars="0"/>
        <w:outlineLvl w:val="1"/>
        <w:rPr>
          <w:rFonts w:ascii="宋体" w:hAnsi="宋体" w:cs="宋体"/>
          <w:b/>
          <w:bCs/>
          <w:color w:val="auto"/>
          <w:szCs w:val="21"/>
          <w:highlight w:val="none"/>
        </w:rPr>
      </w:pPr>
      <w:bookmarkStart w:id="40" w:name="_Toc6034"/>
      <w:bookmarkStart w:id="41" w:name="_Toc13334"/>
      <w:bookmarkStart w:id="42" w:name="_Toc23179"/>
      <w:bookmarkStart w:id="43" w:name="_Toc22672"/>
      <w:r>
        <w:rPr>
          <w:rFonts w:hint="eastAsia" w:ascii="宋体" w:hAnsi="宋体" w:cs="宋体"/>
          <w:b/>
          <w:bCs/>
          <w:color w:val="auto"/>
          <w:szCs w:val="21"/>
          <w:highlight w:val="none"/>
        </w:rPr>
        <w:t>评审办法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40"/>
      <w:bookmarkEnd w:id="41"/>
      <w:bookmarkEnd w:id="42"/>
      <w:bookmarkEnd w:id="43"/>
    </w:p>
    <w:p w14:paraId="69F76A0A">
      <w:pPr>
        <w:numPr>
          <w:ilvl w:val="1"/>
          <w:numId w:val="3"/>
        </w:numPr>
        <w:spacing w:line="360" w:lineRule="auto"/>
        <w:ind w:left="0" w:firstLine="425"/>
        <w:rPr>
          <w:rFonts w:ascii="宋体" w:hAnsi="宋体" w:cs="宋体"/>
          <w:color w:val="auto"/>
          <w:szCs w:val="21"/>
          <w:highlight w:val="none"/>
        </w:rPr>
      </w:pPr>
      <w:r>
        <w:rPr>
          <w:rFonts w:hint="eastAsia" w:ascii="宋体" w:hAnsi="宋体" w:cs="宋体"/>
          <w:color w:val="auto"/>
          <w:szCs w:val="21"/>
          <w:highlight w:val="none"/>
        </w:rPr>
        <w:t>评审方法采用综合评分法。</w:t>
      </w:r>
    </w:p>
    <w:p w14:paraId="064FB0A1">
      <w:pPr>
        <w:spacing w:line="360" w:lineRule="auto"/>
        <w:ind w:left="425"/>
        <w:rPr>
          <w:rFonts w:ascii="宋体" w:hAnsi="宋体" w:cs="宋体"/>
          <w:color w:val="auto"/>
          <w:szCs w:val="21"/>
          <w:highlight w:val="none"/>
        </w:rPr>
      </w:pPr>
    </w:p>
    <w:p w14:paraId="095C3133">
      <w:pPr>
        <w:widowControl w:val="0"/>
        <w:numPr>
          <w:ilvl w:val="0"/>
          <w:numId w:val="1"/>
        </w:numPr>
        <w:spacing w:line="360" w:lineRule="auto"/>
        <w:ind w:left="567" w:leftChars="0" w:hanging="567" w:firstLineChars="0"/>
        <w:outlineLvl w:val="1"/>
        <w:rPr>
          <w:rFonts w:ascii="宋体" w:hAnsi="宋体" w:cs="宋体"/>
          <w:b/>
          <w:color w:val="auto"/>
          <w:szCs w:val="21"/>
          <w:highlight w:val="none"/>
        </w:rPr>
      </w:pPr>
      <w:bookmarkStart w:id="44" w:name="_Toc32525"/>
      <w:bookmarkStart w:id="45" w:name="_Toc519164555"/>
      <w:bookmarkStart w:id="46" w:name="_Toc7476"/>
      <w:bookmarkStart w:id="47" w:name="_Toc31817"/>
      <w:bookmarkStart w:id="48" w:name="_Toc17571"/>
      <w:bookmarkStart w:id="49" w:name="_Toc17601"/>
      <w:bookmarkStart w:id="50" w:name="_Toc12476"/>
      <w:bookmarkStart w:id="51" w:name="_Toc519164409"/>
      <w:bookmarkStart w:id="52" w:name="_Toc526766041"/>
      <w:bookmarkStart w:id="53" w:name="_Toc502737321"/>
      <w:bookmarkStart w:id="54" w:name="_Toc4851"/>
      <w:bookmarkStart w:id="55" w:name="_Toc13667"/>
      <w:bookmarkStart w:id="56" w:name="_Toc32076"/>
      <w:bookmarkStart w:id="57" w:name="_Toc30123"/>
      <w:bookmarkStart w:id="58" w:name="_Toc10091"/>
      <w:bookmarkStart w:id="59" w:name="_Toc30372"/>
      <w:bookmarkStart w:id="60" w:name="_Toc497687621"/>
      <w:bookmarkStart w:id="61" w:name="_Toc532567234"/>
      <w:bookmarkStart w:id="62" w:name="_Toc1356"/>
      <w:bookmarkStart w:id="63" w:name="_Toc21342"/>
      <w:bookmarkStart w:id="64" w:name="_Toc30203"/>
      <w:bookmarkStart w:id="65" w:name="_Toc24699"/>
      <w:bookmarkStart w:id="66" w:name="_Toc22866"/>
      <w:bookmarkStart w:id="67" w:name="_Toc28203"/>
      <w:bookmarkStart w:id="68" w:name="_Toc23127"/>
      <w:bookmarkStart w:id="69" w:name="_Toc11484"/>
      <w:bookmarkStart w:id="70" w:name="_Toc15091"/>
      <w:bookmarkStart w:id="71" w:name="_Toc497225724"/>
      <w:r>
        <w:rPr>
          <w:rFonts w:hint="eastAsia" w:ascii="宋体" w:hAnsi="宋体" w:cs="宋体"/>
          <w:b/>
          <w:color w:val="auto"/>
          <w:szCs w:val="21"/>
          <w:highlight w:val="none"/>
        </w:rPr>
        <w:t>磋商小组</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6FDFF7">
      <w:pPr>
        <w:numPr>
          <w:ilvl w:val="1"/>
          <w:numId w:val="4"/>
        </w:numPr>
        <w:spacing w:line="360" w:lineRule="auto"/>
        <w:ind w:left="0" w:firstLine="425"/>
        <w:rPr>
          <w:rFonts w:ascii="宋体" w:hAnsi="宋体" w:cs="宋体"/>
          <w:b/>
          <w:bCs/>
          <w:color w:val="auto"/>
          <w:szCs w:val="21"/>
          <w:highlight w:val="none"/>
        </w:rPr>
      </w:pPr>
      <w:r>
        <w:rPr>
          <w:rFonts w:hint="eastAsia" w:ascii="宋体" w:hAnsi="宋体" w:cs="宋体"/>
          <w:b/>
          <w:bCs/>
          <w:color w:val="auto"/>
          <w:szCs w:val="21"/>
          <w:highlight w:val="none"/>
        </w:rPr>
        <w:t>组成</w:t>
      </w:r>
    </w:p>
    <w:p w14:paraId="12CCFEC4">
      <w:pPr>
        <w:numPr>
          <w:ilvl w:val="0"/>
          <w:numId w:val="5"/>
        </w:numPr>
        <w:tabs>
          <w:tab w:val="left" w:pos="0"/>
        </w:tabs>
        <w:spacing w:line="360" w:lineRule="auto"/>
        <w:ind w:left="0" w:firstLine="426"/>
        <w:jc w:val="both"/>
        <w:rPr>
          <w:rFonts w:ascii="宋体" w:hAnsi="宋体" w:cs="宋体"/>
          <w:color w:val="auto"/>
          <w:szCs w:val="21"/>
          <w:highlight w:val="none"/>
        </w:rPr>
      </w:pPr>
      <w:r>
        <w:rPr>
          <w:rFonts w:hint="eastAsia" w:ascii="宋体" w:hAnsi="宋体" w:cs="宋体"/>
          <w:color w:val="auto"/>
          <w:szCs w:val="21"/>
          <w:highlight w:val="none"/>
        </w:rPr>
        <w:t>本次采购依法组建磋商小组。磋商小组由采购人代表和从采购代理机构专家库随机抽取的评审专家组成，其中评审专家人数不少于磋商小组成员总数的2/3。</w:t>
      </w:r>
    </w:p>
    <w:p w14:paraId="2B29FE94">
      <w:pPr>
        <w:numPr>
          <w:ilvl w:val="0"/>
          <w:numId w:val="5"/>
        </w:numPr>
        <w:tabs>
          <w:tab w:val="left" w:pos="0"/>
          <w:tab w:val="left" w:pos="851"/>
          <w:tab w:val="clear" w:pos="840"/>
        </w:tabs>
        <w:spacing w:line="360" w:lineRule="auto"/>
        <w:ind w:left="0" w:firstLine="426"/>
        <w:jc w:val="both"/>
        <w:rPr>
          <w:rFonts w:ascii="宋体" w:hAnsi="宋体" w:cs="宋体"/>
          <w:color w:val="auto"/>
          <w:szCs w:val="21"/>
          <w:highlight w:val="none"/>
        </w:rPr>
      </w:pPr>
      <w:r>
        <w:rPr>
          <w:rFonts w:hint="eastAsia" w:ascii="宋体" w:hAnsi="宋体" w:cs="宋体"/>
          <w:color w:val="auto"/>
          <w:szCs w:val="21"/>
          <w:highlight w:val="none"/>
        </w:rPr>
        <w:t>磋商小组将按照磋商文件确定的评审方法进行评审。对磋商文件中描述有歧义或前后不一致的地方，磋商小组有权按法律法规的规定进行评判，但对同一条款的评判应适用于每个供应商</w:t>
      </w:r>
    </w:p>
    <w:p w14:paraId="48C38FB6">
      <w:pPr>
        <w:numPr>
          <w:ilvl w:val="1"/>
          <w:numId w:val="4"/>
        </w:numPr>
        <w:spacing w:line="360" w:lineRule="auto"/>
        <w:ind w:left="0" w:firstLine="425"/>
        <w:rPr>
          <w:rFonts w:ascii="宋体" w:hAnsi="宋体" w:cs="宋体"/>
          <w:b/>
          <w:bCs/>
          <w:color w:val="auto"/>
          <w:szCs w:val="21"/>
          <w:highlight w:val="none"/>
        </w:rPr>
      </w:pPr>
      <w:r>
        <w:rPr>
          <w:rFonts w:hint="eastAsia" w:ascii="宋体" w:hAnsi="宋体" w:cs="宋体"/>
          <w:b/>
          <w:bCs/>
          <w:color w:val="auto"/>
          <w:szCs w:val="21"/>
          <w:highlight w:val="none"/>
        </w:rPr>
        <w:t>职责</w:t>
      </w:r>
    </w:p>
    <w:p w14:paraId="3FB64C68">
      <w:pPr>
        <w:pStyle w:val="8"/>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磋商小组负责磋商和评审工作，对评审中的重大问题通过投票决定。任何人不得干预磋商小组的工作。磋商小组下设评审工作小组，主要由代理机构等相关单位工作人员组成，负责整理、记录等工作。</w:t>
      </w:r>
    </w:p>
    <w:p w14:paraId="4A2CFEAA">
      <w:pPr>
        <w:pStyle w:val="8"/>
        <w:spacing w:line="360" w:lineRule="auto"/>
        <w:ind w:left="0" w:leftChars="0" w:firstLine="420" w:firstLineChars="200"/>
        <w:rPr>
          <w:rFonts w:ascii="宋体" w:hAnsi="宋体" w:cs="宋体"/>
          <w:color w:val="auto"/>
          <w:szCs w:val="21"/>
          <w:highlight w:val="none"/>
        </w:rPr>
      </w:pPr>
    </w:p>
    <w:p w14:paraId="7515FA19">
      <w:pPr>
        <w:widowControl w:val="0"/>
        <w:numPr>
          <w:ilvl w:val="0"/>
          <w:numId w:val="1"/>
        </w:numPr>
        <w:spacing w:line="360" w:lineRule="auto"/>
        <w:ind w:left="567" w:leftChars="0" w:hanging="567" w:firstLineChars="0"/>
        <w:outlineLvl w:val="1"/>
        <w:rPr>
          <w:rFonts w:ascii="宋体" w:hAnsi="宋体" w:cs="宋体"/>
          <w:b/>
          <w:bCs/>
          <w:color w:val="auto"/>
          <w:szCs w:val="21"/>
          <w:highlight w:val="none"/>
        </w:rPr>
      </w:pPr>
      <w:bookmarkStart w:id="72" w:name="_Toc29614"/>
      <w:bookmarkStart w:id="73" w:name="_Toc20420"/>
      <w:bookmarkStart w:id="74" w:name="_Toc435"/>
      <w:bookmarkStart w:id="75" w:name="_Toc30460"/>
      <w:bookmarkStart w:id="76" w:name="_Toc17239"/>
      <w:bookmarkStart w:id="77" w:name="_Toc10669"/>
      <w:bookmarkStart w:id="78" w:name="_Toc14109"/>
      <w:bookmarkStart w:id="79" w:name="_Toc20474"/>
      <w:bookmarkStart w:id="80" w:name="_Toc26626"/>
      <w:bookmarkStart w:id="81" w:name="_Toc2035"/>
      <w:bookmarkStart w:id="82" w:name="_Toc21215"/>
      <w:bookmarkStart w:id="83" w:name="_Toc10428"/>
      <w:bookmarkStart w:id="84" w:name="_Toc15663"/>
      <w:bookmarkStart w:id="85" w:name="_Toc18239"/>
      <w:bookmarkStart w:id="86" w:name="_Toc1286"/>
      <w:bookmarkStart w:id="87" w:name="_Toc5290"/>
      <w:bookmarkStart w:id="88" w:name="_Toc21034"/>
      <w:bookmarkStart w:id="89" w:name="_Toc17374"/>
      <w:bookmarkStart w:id="90" w:name="_Toc22652"/>
      <w:bookmarkStart w:id="91" w:name="_Toc23298"/>
      <w:r>
        <w:rPr>
          <w:rFonts w:hint="eastAsia" w:ascii="宋体" w:hAnsi="宋体" w:cs="宋体"/>
          <w:b/>
          <w:bCs/>
          <w:color w:val="auto"/>
          <w:szCs w:val="21"/>
          <w:highlight w:val="none"/>
        </w:rPr>
        <w:t>磋商程序</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bookmarkEnd w:id="24"/>
    <w:bookmarkEnd w:id="25"/>
    <w:bookmarkEnd w:id="26"/>
    <w:bookmarkEnd w:id="27"/>
    <w:bookmarkEnd w:id="28"/>
    <w:bookmarkEnd w:id="29"/>
    <w:bookmarkEnd w:id="30"/>
    <w:bookmarkEnd w:id="31"/>
    <w:bookmarkEnd w:id="32"/>
    <w:bookmarkEnd w:id="33"/>
    <w:bookmarkEnd w:id="34"/>
    <w:bookmarkEnd w:id="35"/>
    <w:p w14:paraId="7D81AA29">
      <w:pPr>
        <w:numPr>
          <w:ilvl w:val="1"/>
          <w:numId w:val="6"/>
        </w:numPr>
        <w:spacing w:line="360" w:lineRule="auto"/>
        <w:rPr>
          <w:rFonts w:ascii="宋体" w:hAnsi="宋体" w:cs="宋体"/>
          <w:b/>
          <w:color w:val="auto"/>
          <w:szCs w:val="21"/>
          <w:highlight w:val="none"/>
        </w:rPr>
      </w:pPr>
      <w:r>
        <w:rPr>
          <w:rFonts w:hint="eastAsia" w:ascii="宋体" w:hAnsi="宋体" w:cs="宋体"/>
          <w:b/>
          <w:color w:val="auto"/>
          <w:szCs w:val="21"/>
          <w:highlight w:val="none"/>
        </w:rPr>
        <w:t>响应文件资格性审查</w:t>
      </w:r>
    </w:p>
    <w:p w14:paraId="7F0CF73D">
      <w:pPr>
        <w:numPr>
          <w:ilvl w:val="0"/>
          <w:numId w:val="7"/>
        </w:numPr>
        <w:tabs>
          <w:tab w:val="left" w:pos="0"/>
          <w:tab w:val="left" w:pos="720"/>
          <w:tab w:val="left" w:pos="1080"/>
          <w:tab w:val="clear" w:pos="840"/>
        </w:tabs>
        <w:spacing w:line="360" w:lineRule="auto"/>
        <w:ind w:left="0" w:firstLine="420"/>
        <w:jc w:val="both"/>
        <w:rPr>
          <w:rFonts w:hint="eastAsia" w:ascii="宋体" w:hAnsi="宋体" w:cs="宋体"/>
          <w:color w:val="auto"/>
          <w:szCs w:val="21"/>
          <w:highlight w:val="none"/>
        </w:rPr>
      </w:pPr>
      <w:r>
        <w:rPr>
          <w:rFonts w:hint="eastAsia" w:ascii="宋体" w:hAnsi="宋体" w:cs="宋体"/>
          <w:color w:val="auto"/>
          <w:szCs w:val="21"/>
          <w:highlight w:val="none"/>
        </w:rPr>
        <w:t>磋商小组根据《资格性审查表》（附表一）的内容逐条对响应文件进行评审，审查每份响应文件的相关资格证明文件是否齐全有效，只要不满足《资格性审查表》所列各项要求之一的，将被认定为无效响应。对响应有效性认定意见不一致的，磋商小组按少数服从多数原则表决决定。</w:t>
      </w:r>
    </w:p>
    <w:p w14:paraId="2D667D5E">
      <w:pPr>
        <w:numPr>
          <w:ilvl w:val="0"/>
          <w:numId w:val="7"/>
        </w:numPr>
        <w:tabs>
          <w:tab w:val="left" w:pos="0"/>
          <w:tab w:val="left" w:pos="720"/>
          <w:tab w:val="left" w:pos="1080"/>
          <w:tab w:val="clear" w:pos="84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磋商小组对各磋商供应商进行资格性</w:t>
      </w:r>
      <w:r>
        <w:rPr>
          <w:rFonts w:hint="eastAsia" w:ascii="宋体" w:hAnsi="宋体" w:cs="宋体"/>
          <w:color w:val="auto"/>
          <w:szCs w:val="21"/>
          <w:highlight w:val="none"/>
          <w:lang w:val="en-US" w:eastAsia="zh-CN"/>
        </w:rPr>
        <w:t>审查</w:t>
      </w:r>
      <w:r>
        <w:rPr>
          <w:rFonts w:hint="eastAsia" w:ascii="宋体" w:hAnsi="宋体" w:cs="宋体"/>
          <w:color w:val="auto"/>
          <w:szCs w:val="21"/>
          <w:highlight w:val="none"/>
        </w:rPr>
        <w:t>过程中，对初步被认定为初审不合格</w:t>
      </w:r>
      <w:r>
        <w:rPr>
          <w:rFonts w:hint="eastAsia" w:ascii="宋体" w:hAnsi="宋体" w:cs="宋体"/>
          <w:color w:val="auto"/>
          <w:szCs w:val="21"/>
          <w:highlight w:val="none"/>
          <w:lang w:val="en-US" w:eastAsia="zh-CN"/>
        </w:rPr>
        <w:t>的供应商</w:t>
      </w:r>
      <w:r>
        <w:rPr>
          <w:rFonts w:hint="eastAsia" w:ascii="宋体" w:hAnsi="宋体" w:cs="宋体"/>
          <w:color w:val="auto"/>
          <w:szCs w:val="21"/>
          <w:highlight w:val="none"/>
        </w:rPr>
        <w:t>应实行及时告知，由磋商小组组长或采购人代表将集体意见及时告知报价当事人。</w:t>
      </w:r>
    </w:p>
    <w:p w14:paraId="1FE68989">
      <w:pPr>
        <w:numPr>
          <w:ilvl w:val="1"/>
          <w:numId w:val="6"/>
        </w:numPr>
        <w:spacing w:line="360" w:lineRule="auto"/>
        <w:rPr>
          <w:rFonts w:ascii="宋体" w:hAnsi="宋体" w:cs="宋体"/>
          <w:b/>
          <w:color w:val="auto"/>
          <w:szCs w:val="21"/>
          <w:highlight w:val="none"/>
        </w:rPr>
      </w:pPr>
      <w:r>
        <w:rPr>
          <w:rFonts w:hint="eastAsia" w:ascii="宋体" w:hAnsi="宋体" w:cs="宋体"/>
          <w:b/>
          <w:color w:val="auto"/>
          <w:szCs w:val="21"/>
          <w:highlight w:val="none"/>
        </w:rPr>
        <w:t>响应文件的澄清</w:t>
      </w:r>
    </w:p>
    <w:p w14:paraId="2886A014">
      <w:pPr>
        <w:numPr>
          <w:ilvl w:val="0"/>
          <w:numId w:val="8"/>
        </w:numPr>
        <w:tabs>
          <w:tab w:val="left" w:pos="0"/>
          <w:tab w:val="left" w:pos="720"/>
          <w:tab w:val="left" w:pos="1080"/>
          <w:tab w:val="clear" w:pos="840"/>
        </w:tabs>
        <w:spacing w:line="360" w:lineRule="auto"/>
        <w:ind w:left="0" w:firstLine="420"/>
        <w:jc w:val="both"/>
        <w:rPr>
          <w:rFonts w:ascii="宋体" w:hAnsi="宋体" w:cs="宋体"/>
          <w:b/>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对响应文件中含义不明确、同类问题表述不一致或者有明显文字和计算错误的内容，磋商小组可以书面形式要求供应商作出必要的澄清、说明或者纠正。</w:t>
      </w:r>
    </w:p>
    <w:p w14:paraId="3E0B2B6F">
      <w:pPr>
        <w:numPr>
          <w:ilvl w:val="0"/>
          <w:numId w:val="8"/>
        </w:numPr>
        <w:tabs>
          <w:tab w:val="left" w:pos="0"/>
          <w:tab w:val="left" w:pos="720"/>
          <w:tab w:val="left" w:pos="1080"/>
          <w:tab w:val="clear" w:pos="840"/>
        </w:tabs>
        <w:spacing w:line="360" w:lineRule="auto"/>
        <w:ind w:left="0" w:firstLine="420"/>
        <w:jc w:val="both"/>
        <w:rPr>
          <w:rFonts w:ascii="宋体" w:hAnsi="宋体" w:cs="宋体"/>
          <w:b/>
          <w:color w:val="auto"/>
          <w:szCs w:val="21"/>
          <w:highlight w:val="none"/>
        </w:rPr>
      </w:pPr>
      <w:r>
        <w:rPr>
          <w:rFonts w:hint="eastAsia" w:ascii="宋体" w:hAnsi="宋体" w:cs="宋体"/>
          <w:color w:val="auto"/>
          <w:szCs w:val="21"/>
          <w:highlight w:val="none"/>
        </w:rPr>
        <w:t>供应商的澄清、说明或者补正应当采用书面形式，由其授权的代表签字，并不得超出响应文件的范围或者改变响应文件的实质性内容。</w:t>
      </w:r>
    </w:p>
    <w:p w14:paraId="524CD7AD">
      <w:pPr>
        <w:numPr>
          <w:ilvl w:val="1"/>
          <w:numId w:val="6"/>
        </w:numPr>
        <w:spacing w:line="360" w:lineRule="auto"/>
        <w:rPr>
          <w:rFonts w:ascii="宋体" w:hAnsi="宋体" w:cs="宋体"/>
          <w:b/>
          <w:color w:val="auto"/>
          <w:szCs w:val="21"/>
          <w:highlight w:val="none"/>
        </w:rPr>
      </w:pPr>
      <w:r>
        <w:rPr>
          <w:rFonts w:hint="eastAsia" w:ascii="宋体" w:hAnsi="宋体" w:cs="宋体"/>
          <w:b/>
          <w:color w:val="auto"/>
          <w:szCs w:val="21"/>
          <w:highlight w:val="none"/>
          <w:lang w:val="en-US" w:eastAsia="zh-CN"/>
        </w:rPr>
        <w:t>技术</w:t>
      </w:r>
      <w:r>
        <w:rPr>
          <w:rFonts w:hint="eastAsia" w:ascii="宋体" w:hAnsi="宋体" w:cs="宋体"/>
          <w:b/>
          <w:color w:val="auto"/>
          <w:szCs w:val="21"/>
          <w:highlight w:val="none"/>
        </w:rPr>
        <w:t>商务磋商</w:t>
      </w:r>
    </w:p>
    <w:p w14:paraId="56603817">
      <w:pPr>
        <w:numPr>
          <w:ilvl w:val="0"/>
          <w:numId w:val="9"/>
        </w:numPr>
        <w:tabs>
          <w:tab w:val="left" w:pos="720"/>
          <w:tab w:val="left" w:pos="108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磋商小组邀请在规定时间内递交响应文件的供应商参加磋商，以递交响应文件的先后顺序对供应商进行磋商排序。</w:t>
      </w:r>
    </w:p>
    <w:p w14:paraId="5DA600BD">
      <w:pPr>
        <w:numPr>
          <w:ilvl w:val="0"/>
          <w:numId w:val="9"/>
        </w:numPr>
        <w:tabs>
          <w:tab w:val="left" w:pos="720"/>
          <w:tab w:val="left" w:pos="108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磋商小组与供应商应围绕技术、服务要求、合同草案条款等内容分别进行一轮或多轮的磋商。在磋商过程中，磋商小组应当严格遵循保密原则，未经供应商同意不得向任何人透露当事人服务、价格和其他重要信息。</w:t>
      </w:r>
    </w:p>
    <w:p w14:paraId="19EB9D97">
      <w:pPr>
        <w:numPr>
          <w:ilvl w:val="0"/>
          <w:numId w:val="9"/>
        </w:numPr>
        <w:tabs>
          <w:tab w:val="left" w:pos="720"/>
          <w:tab w:val="left" w:pos="108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C892B05">
      <w:pPr>
        <w:numPr>
          <w:ilvl w:val="0"/>
          <w:numId w:val="9"/>
        </w:numPr>
        <w:tabs>
          <w:tab w:val="left" w:pos="0"/>
          <w:tab w:val="left" w:pos="720"/>
          <w:tab w:val="left" w:pos="1080"/>
          <w:tab w:val="clear" w:pos="84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对磋商文件作出的实质性变动是磋商文件的有效组成部分，磋商小组应当及时、同时通知所有参加磋商的供应商。</w:t>
      </w:r>
    </w:p>
    <w:p w14:paraId="2183B3E2">
      <w:pPr>
        <w:numPr>
          <w:ilvl w:val="0"/>
          <w:numId w:val="9"/>
        </w:numPr>
        <w:tabs>
          <w:tab w:val="left" w:pos="0"/>
          <w:tab w:val="left" w:pos="720"/>
          <w:tab w:val="left" w:pos="1080"/>
          <w:tab w:val="clear" w:pos="84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在磋商过程中，供应商提交的澄清文件和最终竞争性磋商响应文件，由供应商法定代表人或授权代表签署后生效，供应商应受其约束。因此，该签字人参加磋商时需出示有效的身份证明文件，否则，其签字的澄清文件和最终竞争性磋商响应文件无效。</w:t>
      </w:r>
    </w:p>
    <w:p w14:paraId="31B27D45">
      <w:pPr>
        <w:numPr>
          <w:ilvl w:val="1"/>
          <w:numId w:val="6"/>
        </w:numPr>
        <w:spacing w:line="360" w:lineRule="auto"/>
        <w:ind w:left="0" w:firstLine="422" w:firstLineChars="200"/>
        <w:jc w:val="left"/>
        <w:rPr>
          <w:rFonts w:ascii="宋体" w:hAnsi="宋体" w:cs="宋体"/>
          <w:b/>
          <w:bCs/>
          <w:color w:val="auto"/>
          <w:szCs w:val="21"/>
          <w:highlight w:val="none"/>
        </w:rPr>
      </w:pPr>
      <w:r>
        <w:rPr>
          <w:rFonts w:hint="eastAsia" w:ascii="宋体" w:hAnsi="宋体" w:cs="宋体"/>
          <w:b/>
          <w:szCs w:val="21"/>
          <w:highlight w:val="none"/>
        </w:rPr>
        <w:t>响应文件符合性审查</w:t>
      </w:r>
    </w:p>
    <w:p w14:paraId="48278B16">
      <w:pPr>
        <w:numPr>
          <w:ilvl w:val="0"/>
          <w:numId w:val="10"/>
        </w:numPr>
        <w:tabs>
          <w:tab w:val="left" w:pos="0"/>
          <w:tab w:val="left" w:pos="720"/>
          <w:tab w:val="left" w:pos="1080"/>
          <w:tab w:val="clear" w:pos="840"/>
        </w:tabs>
        <w:spacing w:line="360" w:lineRule="auto"/>
        <w:ind w:left="0" w:firstLine="420"/>
        <w:jc w:val="both"/>
        <w:rPr>
          <w:rFonts w:hint="eastAsia" w:ascii="宋体" w:hAnsi="宋体" w:cs="宋体"/>
          <w:szCs w:val="21"/>
          <w:highlight w:val="none"/>
        </w:rPr>
      </w:pPr>
      <w:r>
        <w:rPr>
          <w:rFonts w:hint="eastAsia" w:ascii="宋体" w:hAnsi="宋体" w:cs="宋体"/>
          <w:szCs w:val="21"/>
          <w:highlight w:val="none"/>
        </w:rPr>
        <w:t>磋商小组根据《符合性审查表》（附表二）的内容逐条对响应文件进行评审，审查每份响应文件是否实质上响应了磋商文件的要求，只要不满足《符合性审查表》所列各项要求之一的，将被认定为无效响应。对响应有效性认定意见不一致的，磋商小组按少数服从多数原则表决决定。</w:t>
      </w:r>
    </w:p>
    <w:p w14:paraId="51E99654">
      <w:pPr>
        <w:numPr>
          <w:ilvl w:val="0"/>
          <w:numId w:val="10"/>
        </w:numPr>
        <w:tabs>
          <w:tab w:val="left" w:pos="0"/>
          <w:tab w:val="left" w:pos="720"/>
          <w:tab w:val="left" w:pos="1080"/>
          <w:tab w:val="clear" w:pos="840"/>
        </w:tabs>
        <w:spacing w:line="360" w:lineRule="auto"/>
        <w:ind w:left="0" w:firstLine="420"/>
        <w:jc w:val="both"/>
        <w:rPr>
          <w:rFonts w:ascii="宋体" w:hAnsi="宋体" w:cs="宋体"/>
          <w:b/>
          <w:bCs/>
          <w:color w:val="auto"/>
          <w:szCs w:val="21"/>
          <w:highlight w:val="none"/>
        </w:rPr>
      </w:pPr>
      <w:r>
        <w:rPr>
          <w:rFonts w:hint="eastAsia" w:ascii="宋体" w:hAnsi="宋体" w:cs="宋体"/>
          <w:szCs w:val="21"/>
          <w:highlight w:val="none"/>
        </w:rPr>
        <w:t>磋商小组对各磋商供应商进行符合性审查过程中，对初步被认定为无效响应者应实行及时告知，由磋商小组组长或采购人代表将集体意见及时告知报价当事人。</w:t>
      </w:r>
    </w:p>
    <w:p w14:paraId="511C9154">
      <w:pPr>
        <w:numPr>
          <w:ilvl w:val="1"/>
          <w:numId w:val="6"/>
        </w:numPr>
        <w:spacing w:line="360" w:lineRule="auto"/>
        <w:ind w:left="0"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最终报价：</w:t>
      </w:r>
    </w:p>
    <w:p w14:paraId="52032566">
      <w:pPr>
        <w:numPr>
          <w:ilvl w:val="0"/>
          <w:numId w:val="11"/>
        </w:numPr>
        <w:tabs>
          <w:tab w:val="left" w:pos="0"/>
          <w:tab w:val="left" w:pos="720"/>
          <w:tab w:val="left" w:pos="1080"/>
          <w:tab w:val="clear" w:pos="84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磋商结束后，磋商小组应当要求所有实质性响应的供应商在规定时间内提交最后报价。最后报价是供应商响应文件的有效组成部分。</w:t>
      </w:r>
    </w:p>
    <w:p w14:paraId="494EB5EB">
      <w:pPr>
        <w:numPr>
          <w:ilvl w:val="0"/>
          <w:numId w:val="11"/>
        </w:numPr>
        <w:tabs>
          <w:tab w:val="left" w:pos="0"/>
          <w:tab w:val="left" w:pos="720"/>
          <w:tab w:val="left" w:pos="1080"/>
          <w:tab w:val="clear" w:pos="840"/>
        </w:tabs>
        <w:spacing w:line="360" w:lineRule="auto"/>
        <w:ind w:left="0" w:firstLine="420"/>
        <w:jc w:val="both"/>
        <w:rPr>
          <w:rFonts w:ascii="宋体" w:hAnsi="宋体" w:cs="宋体"/>
          <w:color w:val="auto"/>
          <w:szCs w:val="21"/>
          <w:highlight w:val="none"/>
        </w:rPr>
      </w:pPr>
      <w:r>
        <w:rPr>
          <w:rFonts w:hint="eastAsia" w:ascii="宋体" w:hAnsi="宋体" w:eastAsia="宋体" w:cs="宋体"/>
          <w:color w:val="auto"/>
          <w:spacing w:val="8"/>
          <w:sz w:val="21"/>
          <w:szCs w:val="21"/>
          <w:highlight w:val="none"/>
        </w:rPr>
        <w:t>已提交响应文件的供应商，在提交最后报价之前，可以根据磋商情况退出磋商。</w:t>
      </w:r>
    </w:p>
    <w:p w14:paraId="34A84D05">
      <w:pPr>
        <w:numPr>
          <w:ilvl w:val="0"/>
          <w:numId w:val="11"/>
        </w:numPr>
        <w:tabs>
          <w:tab w:val="left" w:pos="0"/>
          <w:tab w:val="left" w:pos="720"/>
          <w:tab w:val="left" w:pos="1080"/>
          <w:tab w:val="clear" w:pos="840"/>
        </w:tabs>
        <w:spacing w:line="360" w:lineRule="auto"/>
        <w:ind w:left="0" w:firstLine="420"/>
        <w:jc w:val="both"/>
        <w:rPr>
          <w:rFonts w:ascii="宋体" w:hAnsi="宋体" w:cs="宋体"/>
          <w:color w:val="auto"/>
          <w:szCs w:val="21"/>
          <w:highlight w:val="none"/>
        </w:rPr>
      </w:pPr>
      <w:r>
        <w:rPr>
          <w:rFonts w:hint="eastAsia" w:ascii="宋体" w:hAnsi="宋体" w:eastAsia="宋体" w:cs="宋体"/>
          <w:color w:val="auto"/>
          <w:spacing w:val="8"/>
          <w:sz w:val="21"/>
          <w:szCs w:val="21"/>
          <w:highlight w:val="none"/>
        </w:rPr>
        <w:t>除法规规定的特殊性情形外，提交最后报价的供应商不得少于3家。</w:t>
      </w:r>
    </w:p>
    <w:p w14:paraId="246E57EC">
      <w:pPr>
        <w:pStyle w:val="5"/>
        <w:rPr>
          <w:rFonts w:ascii="宋体" w:hAnsi="宋体" w:cs="宋体"/>
          <w:color w:val="auto"/>
          <w:szCs w:val="21"/>
          <w:highlight w:val="none"/>
        </w:rPr>
      </w:pPr>
    </w:p>
    <w:p w14:paraId="4875C78E">
      <w:pPr>
        <w:widowControl w:val="0"/>
        <w:numPr>
          <w:ilvl w:val="0"/>
          <w:numId w:val="1"/>
        </w:numPr>
        <w:spacing w:line="360" w:lineRule="auto"/>
        <w:ind w:left="567" w:leftChars="0" w:hanging="567" w:firstLineChars="0"/>
        <w:outlineLvl w:val="1"/>
        <w:rPr>
          <w:rFonts w:ascii="宋体" w:hAnsi="宋体" w:cs="宋体"/>
          <w:b/>
          <w:bCs/>
          <w:color w:val="auto"/>
          <w:szCs w:val="21"/>
          <w:highlight w:val="none"/>
        </w:rPr>
      </w:pPr>
      <w:bookmarkStart w:id="92" w:name="_Toc8294"/>
      <w:bookmarkStart w:id="93" w:name="_Toc1873"/>
      <w:bookmarkStart w:id="94" w:name="_Toc8738"/>
      <w:bookmarkStart w:id="95" w:name="_Toc21261"/>
      <w:bookmarkStart w:id="96" w:name="_Toc16189"/>
      <w:bookmarkStart w:id="97" w:name="_Toc27754"/>
      <w:bookmarkStart w:id="98" w:name="_Toc22864"/>
      <w:bookmarkStart w:id="99" w:name="_Toc12363"/>
      <w:bookmarkStart w:id="100" w:name="_Toc11138"/>
      <w:bookmarkStart w:id="101" w:name="_Toc20448"/>
      <w:bookmarkStart w:id="102" w:name="_Toc1930"/>
      <w:bookmarkStart w:id="103" w:name="_Toc12874"/>
      <w:bookmarkStart w:id="104" w:name="_Toc11735"/>
      <w:bookmarkStart w:id="105" w:name="_Toc26640"/>
      <w:bookmarkStart w:id="106" w:name="_Toc11548"/>
      <w:bookmarkStart w:id="107" w:name="_Toc8694"/>
      <w:bookmarkStart w:id="108" w:name="_Toc16145"/>
      <w:bookmarkStart w:id="109" w:name="_Toc31838"/>
      <w:bookmarkStart w:id="110" w:name="_Toc32148"/>
      <w:bookmarkStart w:id="111" w:name="_Toc19592"/>
      <w:r>
        <w:rPr>
          <w:rFonts w:hint="eastAsia" w:ascii="宋体" w:hAnsi="宋体" w:cs="宋体"/>
          <w:b/>
          <w:bCs/>
          <w:color w:val="auto"/>
          <w:szCs w:val="21"/>
          <w:highlight w:val="none"/>
        </w:rPr>
        <w:t>综合评审</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D8929ED">
      <w:pPr>
        <w:tabs>
          <w:tab w:val="left" w:pos="0"/>
          <w:tab w:val="left" w:pos="720"/>
          <w:tab w:val="left" w:pos="1080"/>
        </w:tabs>
        <w:spacing w:line="360" w:lineRule="auto"/>
        <w:ind w:firstLine="420" w:firstLineChars="200"/>
        <w:jc w:val="both"/>
        <w:rPr>
          <w:rFonts w:hint="eastAsia" w:ascii="宋体" w:hAnsi="宋体" w:cs="宋体"/>
          <w:color w:val="auto"/>
          <w:szCs w:val="21"/>
          <w:highlight w:val="none"/>
        </w:rPr>
      </w:pPr>
      <w:bookmarkStart w:id="112" w:name="_Toc26711"/>
      <w:bookmarkStart w:id="113" w:name="_Toc12714"/>
      <w:bookmarkStart w:id="114" w:name="_Toc12910"/>
      <w:bookmarkStart w:id="115" w:name="_Toc16883"/>
      <w:bookmarkStart w:id="116" w:name="_Toc13993"/>
      <w:bookmarkStart w:id="117" w:name="_Toc5795"/>
      <w:bookmarkStart w:id="118" w:name="_Toc2290"/>
      <w:bookmarkStart w:id="119" w:name="_Toc21284"/>
      <w:bookmarkStart w:id="120" w:name="_Toc5186"/>
      <w:bookmarkStart w:id="121" w:name="_Toc19212"/>
      <w:bookmarkStart w:id="122" w:name="_Toc26986"/>
      <w:bookmarkStart w:id="123" w:name="_Toc4214"/>
      <w:bookmarkStart w:id="124" w:name="_Toc23630"/>
      <w:bookmarkStart w:id="125" w:name="_Toc26479"/>
      <w:bookmarkStart w:id="126" w:name="_Toc10214"/>
      <w:bookmarkStart w:id="127" w:name="_Toc10992"/>
      <w:bookmarkStart w:id="128" w:name="_Toc28902"/>
      <w:bookmarkStart w:id="129" w:name="_Toc14633"/>
      <w:bookmarkStart w:id="130" w:name="_Toc12768"/>
      <w:bookmarkStart w:id="131" w:name="_Toc7341"/>
      <w:bookmarkStart w:id="132" w:name="_Toc7893"/>
      <w:bookmarkStart w:id="133" w:name="_Toc30243"/>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FB44706">
      <w:pPr>
        <w:numPr>
          <w:ilvl w:val="1"/>
          <w:numId w:val="12"/>
        </w:numPr>
        <w:spacing w:line="360" w:lineRule="auto"/>
        <w:rPr>
          <w:rFonts w:ascii="宋体" w:hAnsi="宋体" w:cs="宋体"/>
          <w:b/>
          <w:color w:val="auto"/>
          <w:szCs w:val="21"/>
          <w:highlight w:val="none"/>
        </w:rPr>
      </w:pPr>
      <w:r>
        <w:rPr>
          <w:rFonts w:hint="eastAsia" w:ascii="宋体" w:hAnsi="宋体" w:cs="宋体"/>
          <w:b/>
          <w:color w:val="auto"/>
          <w:szCs w:val="21"/>
          <w:highlight w:val="none"/>
        </w:rPr>
        <w:t>评审权重</w:t>
      </w:r>
    </w:p>
    <w:p w14:paraId="47286BC0">
      <w:pPr>
        <w:tabs>
          <w:tab w:val="left" w:pos="85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评分</w:t>
      </w:r>
      <w:r>
        <w:rPr>
          <w:rFonts w:hint="eastAsia" w:ascii="宋体" w:hAnsi="宋体" w:cs="宋体"/>
          <w:color w:val="auto"/>
          <w:szCs w:val="21"/>
          <w:highlight w:val="none"/>
          <w:lang w:val="en-US" w:eastAsia="zh-CN"/>
        </w:rPr>
        <w:t>分值</w:t>
      </w:r>
      <w:r>
        <w:rPr>
          <w:rFonts w:hint="eastAsia" w:ascii="宋体" w:hAnsi="宋体" w:cs="宋体"/>
          <w:color w:val="auto"/>
          <w:szCs w:val="21"/>
          <w:highlight w:val="none"/>
        </w:rPr>
        <w:t>如下：</w:t>
      </w:r>
    </w:p>
    <w:tbl>
      <w:tblPr>
        <w:tblStyle w:val="13"/>
        <w:tblW w:w="84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2340"/>
        <w:gridCol w:w="2160"/>
      </w:tblGrid>
      <w:tr w14:paraId="6733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vAlign w:val="center"/>
          </w:tcPr>
          <w:p w14:paraId="3F165189">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0"/>
                <w:highlight w:val="none"/>
                <w:lang w:val="en-US" w:eastAsia="zh-CN"/>
              </w:rPr>
            </w:pPr>
            <w:r>
              <w:rPr>
                <w:rFonts w:hint="eastAsia" w:ascii="宋体" w:hAnsi="宋体" w:eastAsia="宋体" w:cs="宋体"/>
                <w:b/>
                <w:bCs/>
                <w:color w:val="auto"/>
                <w:kern w:val="2"/>
                <w:szCs w:val="20"/>
                <w:highlight w:val="none"/>
                <w:lang w:val="en-US" w:eastAsia="zh-CN"/>
              </w:rPr>
              <w:t>评分项目</w:t>
            </w:r>
          </w:p>
        </w:tc>
        <w:tc>
          <w:tcPr>
            <w:tcW w:w="2340" w:type="dxa"/>
            <w:vAlign w:val="center"/>
          </w:tcPr>
          <w:p w14:paraId="429D44F4">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0"/>
                <w:highlight w:val="none"/>
                <w:lang w:val="en-US" w:eastAsia="zh-CN"/>
              </w:rPr>
            </w:pPr>
            <w:r>
              <w:rPr>
                <w:rFonts w:hint="eastAsia" w:ascii="宋体" w:hAnsi="宋体" w:eastAsia="宋体" w:cs="宋体"/>
                <w:b/>
                <w:bCs/>
                <w:color w:val="auto"/>
                <w:kern w:val="2"/>
                <w:szCs w:val="20"/>
                <w:highlight w:val="none"/>
                <w:lang w:val="en-US" w:eastAsia="zh-CN"/>
              </w:rPr>
              <w:t>技术评分</w:t>
            </w:r>
          </w:p>
        </w:tc>
        <w:tc>
          <w:tcPr>
            <w:tcW w:w="2340" w:type="dxa"/>
            <w:vAlign w:val="center"/>
          </w:tcPr>
          <w:p w14:paraId="6E546EBB">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0"/>
                <w:highlight w:val="none"/>
                <w:lang w:val="en-US" w:eastAsia="zh-CN"/>
              </w:rPr>
            </w:pPr>
            <w:r>
              <w:rPr>
                <w:rFonts w:hint="eastAsia" w:ascii="宋体" w:hAnsi="宋体" w:eastAsia="宋体" w:cs="宋体"/>
                <w:b/>
                <w:bCs/>
                <w:color w:val="auto"/>
                <w:kern w:val="2"/>
                <w:szCs w:val="20"/>
                <w:highlight w:val="none"/>
                <w:lang w:val="en-US" w:eastAsia="zh-CN"/>
              </w:rPr>
              <w:t>商务评分</w:t>
            </w:r>
          </w:p>
        </w:tc>
        <w:tc>
          <w:tcPr>
            <w:tcW w:w="2160" w:type="dxa"/>
            <w:vAlign w:val="center"/>
          </w:tcPr>
          <w:p w14:paraId="59A55C3C">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0"/>
                <w:highlight w:val="none"/>
                <w:lang w:val="en-US" w:eastAsia="zh-CN"/>
              </w:rPr>
            </w:pPr>
            <w:r>
              <w:rPr>
                <w:rFonts w:hint="eastAsia" w:ascii="宋体" w:hAnsi="宋体" w:eastAsia="宋体" w:cs="宋体"/>
                <w:b/>
                <w:bCs/>
                <w:color w:val="auto"/>
                <w:kern w:val="2"/>
                <w:szCs w:val="20"/>
                <w:highlight w:val="none"/>
                <w:lang w:val="en-US" w:eastAsia="zh-CN"/>
              </w:rPr>
              <w:t>价格评分</w:t>
            </w:r>
          </w:p>
        </w:tc>
      </w:tr>
      <w:tr w14:paraId="2742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vAlign w:val="center"/>
          </w:tcPr>
          <w:p w14:paraId="18CB95E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Cs w:val="20"/>
                <w:highlight w:val="none"/>
                <w:lang w:val="en-US" w:eastAsia="zh-CN"/>
              </w:rPr>
            </w:pPr>
            <w:r>
              <w:rPr>
                <w:rFonts w:hint="eastAsia" w:ascii="宋体" w:hAnsi="宋体" w:cs="宋体"/>
                <w:bCs/>
                <w:color w:val="auto"/>
                <w:kern w:val="2"/>
                <w:szCs w:val="20"/>
                <w:highlight w:val="none"/>
                <w:lang w:val="en-US" w:eastAsia="zh-CN"/>
              </w:rPr>
              <w:t>分值</w:t>
            </w:r>
          </w:p>
        </w:tc>
        <w:tc>
          <w:tcPr>
            <w:tcW w:w="2340" w:type="dxa"/>
            <w:vAlign w:val="center"/>
          </w:tcPr>
          <w:p w14:paraId="6C7D6F5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Cs w:val="20"/>
                <w:highlight w:val="none"/>
                <w:lang w:val="en-US" w:eastAsia="zh-CN"/>
              </w:rPr>
            </w:pPr>
            <w:r>
              <w:rPr>
                <w:rFonts w:hint="eastAsia" w:ascii="宋体" w:hAnsi="宋体" w:cs="宋体"/>
                <w:bCs/>
                <w:color w:val="auto"/>
                <w:kern w:val="2"/>
                <w:szCs w:val="20"/>
                <w:highlight w:val="none"/>
                <w:lang w:val="en-US" w:eastAsia="zh-CN"/>
              </w:rPr>
              <w:t>55</w:t>
            </w:r>
            <w:r>
              <w:rPr>
                <w:rFonts w:hint="eastAsia" w:ascii="宋体" w:hAnsi="宋体" w:eastAsia="宋体" w:cs="宋体"/>
                <w:bCs/>
                <w:color w:val="auto"/>
                <w:kern w:val="2"/>
                <w:szCs w:val="20"/>
                <w:highlight w:val="none"/>
                <w:lang w:val="en-US" w:eastAsia="zh-CN"/>
              </w:rPr>
              <w:t>分</w:t>
            </w:r>
          </w:p>
        </w:tc>
        <w:tc>
          <w:tcPr>
            <w:tcW w:w="2340" w:type="dxa"/>
            <w:vAlign w:val="center"/>
          </w:tcPr>
          <w:p w14:paraId="6DE33A1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Cs w:val="20"/>
                <w:highlight w:val="none"/>
                <w:lang w:val="en-US" w:eastAsia="zh-CN"/>
              </w:rPr>
            </w:pPr>
            <w:r>
              <w:rPr>
                <w:rFonts w:hint="eastAsia" w:ascii="宋体" w:hAnsi="宋体" w:cs="宋体"/>
                <w:bCs/>
                <w:color w:val="auto"/>
                <w:kern w:val="2"/>
                <w:szCs w:val="20"/>
                <w:highlight w:val="none"/>
                <w:lang w:val="en-US" w:eastAsia="zh-CN"/>
              </w:rPr>
              <w:t>15</w:t>
            </w:r>
            <w:r>
              <w:rPr>
                <w:rFonts w:hint="eastAsia" w:ascii="宋体" w:hAnsi="宋体" w:eastAsia="宋体" w:cs="宋体"/>
                <w:bCs/>
                <w:color w:val="auto"/>
                <w:kern w:val="2"/>
                <w:szCs w:val="20"/>
                <w:highlight w:val="none"/>
                <w:lang w:val="en-US" w:eastAsia="zh-CN"/>
              </w:rPr>
              <w:t>分</w:t>
            </w:r>
          </w:p>
        </w:tc>
        <w:tc>
          <w:tcPr>
            <w:tcW w:w="2160" w:type="dxa"/>
            <w:vAlign w:val="center"/>
          </w:tcPr>
          <w:p w14:paraId="40D297C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Cs w:val="20"/>
                <w:highlight w:val="none"/>
                <w:lang w:val="en-US" w:eastAsia="zh-CN"/>
              </w:rPr>
            </w:pPr>
            <w:r>
              <w:rPr>
                <w:rFonts w:hint="eastAsia" w:ascii="宋体" w:hAnsi="宋体" w:eastAsia="宋体" w:cs="宋体"/>
                <w:bCs/>
                <w:color w:val="auto"/>
                <w:kern w:val="2"/>
                <w:szCs w:val="20"/>
                <w:highlight w:val="none"/>
                <w:lang w:val="en-US" w:eastAsia="zh-CN"/>
              </w:rPr>
              <w:t>30分</w:t>
            </w:r>
          </w:p>
        </w:tc>
      </w:tr>
    </w:tbl>
    <w:p w14:paraId="008B4E6C">
      <w:pPr>
        <w:keepNext w:val="0"/>
        <w:keepLines w:val="0"/>
        <w:pageBreakBefore w:val="0"/>
        <w:widowControl/>
        <w:numPr>
          <w:ilvl w:val="1"/>
          <w:numId w:val="12"/>
        </w:numPr>
        <w:kinsoku/>
        <w:wordWrap/>
        <w:overflowPunct/>
        <w:topLinePunct w:val="0"/>
        <w:autoSpaceDE/>
        <w:autoSpaceDN/>
        <w:bidi w:val="0"/>
        <w:adjustRightInd/>
        <w:snapToGrid/>
        <w:spacing w:before="313" w:beforeLines="100" w:line="360" w:lineRule="auto"/>
        <w:ind w:left="709" w:hanging="567"/>
        <w:textAlignment w:val="auto"/>
        <w:rPr>
          <w:rFonts w:ascii="宋体" w:hAnsi="宋体" w:cs="宋体"/>
          <w:b/>
          <w:color w:val="auto"/>
          <w:szCs w:val="21"/>
          <w:highlight w:val="none"/>
        </w:rPr>
      </w:pPr>
      <w:r>
        <w:rPr>
          <w:rFonts w:hint="eastAsia" w:ascii="宋体" w:hAnsi="宋体" w:cs="宋体"/>
          <w:b/>
          <w:bCs/>
          <w:color w:val="auto"/>
          <w:kern w:val="2"/>
          <w:szCs w:val="21"/>
          <w:highlight w:val="none"/>
          <w:lang w:val="en-US" w:eastAsia="zh-CN"/>
        </w:rPr>
        <w:t>技术</w:t>
      </w:r>
      <w:r>
        <w:rPr>
          <w:rFonts w:hint="eastAsia" w:ascii="宋体" w:hAnsi="宋体" w:cs="宋体"/>
          <w:b/>
          <w:color w:val="auto"/>
          <w:szCs w:val="21"/>
          <w:highlight w:val="none"/>
        </w:rPr>
        <w:t>、商务评审</w:t>
      </w:r>
    </w:p>
    <w:p w14:paraId="465A525F">
      <w:pPr>
        <w:spacing w:line="360" w:lineRule="auto"/>
        <w:ind w:firstLine="422" w:firstLineChars="200"/>
        <w:rPr>
          <w:rFonts w:ascii="宋体" w:hAnsi="宋体" w:cs="宋体"/>
          <w:b/>
          <w:color w:val="auto"/>
          <w:szCs w:val="21"/>
          <w:highlight w:val="none"/>
        </w:rPr>
      </w:pPr>
      <w:r>
        <w:rPr>
          <w:rFonts w:hint="eastAsia" w:ascii="宋体" w:hAnsi="宋体" w:cs="宋体"/>
          <w:b/>
          <w:bCs/>
          <w:color w:val="auto"/>
          <w:kern w:val="2"/>
          <w:szCs w:val="21"/>
          <w:highlight w:val="none"/>
        </w:rPr>
        <w:t>1.</w:t>
      </w:r>
      <w:r>
        <w:rPr>
          <w:rFonts w:hint="eastAsia" w:ascii="宋体" w:hAnsi="宋体" w:cs="宋体"/>
          <w:b/>
          <w:bCs/>
          <w:color w:val="auto"/>
          <w:kern w:val="2"/>
          <w:szCs w:val="21"/>
          <w:highlight w:val="none"/>
          <w:lang w:val="en-US" w:eastAsia="zh-CN"/>
        </w:rPr>
        <w:t>技术</w:t>
      </w:r>
      <w:r>
        <w:rPr>
          <w:rFonts w:hint="eastAsia" w:ascii="宋体" w:hAnsi="宋体" w:cs="宋体"/>
          <w:b/>
          <w:color w:val="auto"/>
          <w:szCs w:val="21"/>
          <w:highlight w:val="none"/>
        </w:rPr>
        <w:t>评审：</w:t>
      </w:r>
    </w:p>
    <w:p w14:paraId="4F889A41">
      <w:pPr>
        <w:tabs>
          <w:tab w:val="left" w:pos="0"/>
          <w:tab w:val="left" w:pos="720"/>
          <w:tab w:val="left" w:pos="1080"/>
        </w:tabs>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由评委对所有有效响应文件的</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响应方案进行审核和分析，填写《</w:t>
      </w:r>
      <w:r>
        <w:rPr>
          <w:rFonts w:hint="eastAsia" w:ascii="宋体" w:hAnsi="宋体" w:cs="宋体"/>
          <w:color w:val="auto"/>
          <w:szCs w:val="21"/>
          <w:highlight w:val="none"/>
          <w:lang w:val="en-US" w:eastAsia="zh-CN"/>
        </w:rPr>
        <w:t>技术评分</w:t>
      </w:r>
      <w:r>
        <w:rPr>
          <w:rFonts w:hint="eastAsia" w:ascii="宋体" w:hAnsi="宋体" w:cs="宋体"/>
          <w:color w:val="auto"/>
          <w:szCs w:val="21"/>
          <w:highlight w:val="none"/>
        </w:rPr>
        <w:t>表》（附表三）。</w:t>
      </w:r>
    </w:p>
    <w:p w14:paraId="32B5E33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2.商务评审：</w:t>
      </w:r>
    </w:p>
    <w:p w14:paraId="7E70D538">
      <w:pPr>
        <w:tabs>
          <w:tab w:val="left" w:pos="0"/>
          <w:tab w:val="left" w:pos="720"/>
          <w:tab w:val="left" w:pos="1080"/>
        </w:tabs>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由评委对所有有效响应文件的商务响应进行审核和评价，填写《商务评分表》（附表四）。</w:t>
      </w:r>
    </w:p>
    <w:p w14:paraId="780B39D6">
      <w:pPr>
        <w:numPr>
          <w:ilvl w:val="1"/>
          <w:numId w:val="12"/>
        </w:numPr>
        <w:spacing w:line="360" w:lineRule="auto"/>
        <w:rPr>
          <w:rFonts w:ascii="宋体" w:hAnsi="宋体" w:cs="宋体"/>
          <w:color w:val="auto"/>
          <w:szCs w:val="21"/>
          <w:highlight w:val="none"/>
        </w:rPr>
      </w:pPr>
      <w:r>
        <w:rPr>
          <w:rFonts w:hint="eastAsia" w:ascii="宋体" w:hAnsi="宋体" w:cs="宋体"/>
          <w:b/>
          <w:color w:val="auto"/>
          <w:szCs w:val="21"/>
          <w:highlight w:val="none"/>
        </w:rPr>
        <w:t>价格评审</w:t>
      </w:r>
    </w:p>
    <w:p w14:paraId="2380197E">
      <w:pPr>
        <w:numPr>
          <w:ilvl w:val="0"/>
          <w:numId w:val="13"/>
        </w:numPr>
        <w:tabs>
          <w:tab w:val="left" w:pos="-142"/>
          <w:tab w:val="left" w:pos="0"/>
          <w:tab w:val="left" w:pos="720"/>
          <w:tab w:val="clear" w:pos="84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核实价的确定：磋商小组对各供应商的最终报价按下述原则进行校核、评审或作出必要的修正后的价格为核实价，如果出现多种处理原则所产生的结果不一致的情况，以最高的修正价作为核实价。</w:t>
      </w:r>
    </w:p>
    <w:p w14:paraId="03F9E6C4">
      <w:pPr>
        <w:numPr>
          <w:ilvl w:val="0"/>
          <w:numId w:val="13"/>
        </w:numPr>
        <w:tabs>
          <w:tab w:val="left" w:pos="-142"/>
          <w:tab w:val="left" w:pos="0"/>
          <w:tab w:val="left" w:pos="720"/>
          <w:tab w:val="clear" w:pos="84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报价的错误修正原则</w:t>
      </w:r>
    </w:p>
    <w:p w14:paraId="48F09DD8">
      <w:pPr>
        <w:tabs>
          <w:tab w:val="left" w:pos="720"/>
        </w:tabs>
        <w:spacing w:line="360" w:lineRule="auto"/>
        <w:ind w:left="360"/>
        <w:jc w:val="both"/>
        <w:rPr>
          <w:rFonts w:ascii="宋体" w:hAnsi="宋体" w:cs="宋体"/>
          <w:color w:val="auto"/>
          <w:szCs w:val="21"/>
          <w:highlight w:val="none"/>
        </w:rPr>
      </w:pPr>
      <w:r>
        <w:rPr>
          <w:rFonts w:hint="eastAsia" w:ascii="宋体" w:hAnsi="宋体" w:cs="宋体"/>
          <w:color w:val="auto"/>
          <w:szCs w:val="21"/>
          <w:highlight w:val="none"/>
        </w:rPr>
        <w:t>（1）大写金额与小写金额不一致的，以大写金额为准；</w:t>
      </w:r>
    </w:p>
    <w:p w14:paraId="1037CBF2">
      <w:pPr>
        <w:tabs>
          <w:tab w:val="left" w:pos="720"/>
        </w:tabs>
        <w:spacing w:line="360" w:lineRule="auto"/>
        <w:ind w:left="360"/>
        <w:jc w:val="both"/>
        <w:rPr>
          <w:rFonts w:ascii="宋体" w:hAnsi="宋体" w:cs="宋体"/>
          <w:color w:val="auto"/>
          <w:szCs w:val="21"/>
          <w:highlight w:val="none"/>
        </w:rPr>
      </w:pPr>
      <w:r>
        <w:rPr>
          <w:rFonts w:hint="eastAsia" w:ascii="宋体" w:hAnsi="宋体" w:cs="宋体"/>
          <w:color w:val="auto"/>
          <w:szCs w:val="21"/>
          <w:highlight w:val="none"/>
        </w:rPr>
        <w:t>（2）总价金额与按单价汇总金额不一致的，以单价金额计算结果为准；</w:t>
      </w:r>
    </w:p>
    <w:p w14:paraId="11636EC0">
      <w:pPr>
        <w:tabs>
          <w:tab w:val="left" w:pos="720"/>
        </w:tabs>
        <w:spacing w:line="360" w:lineRule="auto"/>
        <w:ind w:left="360"/>
        <w:jc w:val="both"/>
        <w:rPr>
          <w:rFonts w:ascii="宋体" w:hAnsi="宋体" w:cs="宋体"/>
          <w:color w:val="auto"/>
          <w:szCs w:val="21"/>
          <w:highlight w:val="none"/>
        </w:rPr>
      </w:pPr>
      <w:r>
        <w:rPr>
          <w:rFonts w:hint="eastAsia" w:ascii="宋体" w:hAnsi="宋体" w:cs="宋体"/>
          <w:color w:val="auto"/>
          <w:szCs w:val="21"/>
          <w:highlight w:val="none"/>
        </w:rPr>
        <w:t>（3）单价金额小数点有明显错位的，应以总价为准，并修改单价；</w:t>
      </w:r>
    </w:p>
    <w:p w14:paraId="4B8034C6">
      <w:pPr>
        <w:tabs>
          <w:tab w:val="left" w:pos="720"/>
        </w:tabs>
        <w:spacing w:line="360" w:lineRule="auto"/>
        <w:ind w:left="360"/>
        <w:jc w:val="both"/>
        <w:rPr>
          <w:rFonts w:ascii="宋体" w:hAnsi="宋体" w:cs="宋体"/>
          <w:color w:val="auto"/>
          <w:szCs w:val="21"/>
          <w:highlight w:val="none"/>
        </w:rPr>
      </w:pPr>
      <w:r>
        <w:rPr>
          <w:rFonts w:hint="eastAsia" w:ascii="宋体" w:hAnsi="宋体" w:cs="宋体"/>
          <w:color w:val="auto"/>
          <w:szCs w:val="21"/>
          <w:highlight w:val="none"/>
        </w:rPr>
        <w:t>（4）修正价后的价格作为核实价。</w:t>
      </w:r>
    </w:p>
    <w:p w14:paraId="33E5AF9C">
      <w:pPr>
        <w:numPr>
          <w:ilvl w:val="0"/>
          <w:numId w:val="13"/>
        </w:numPr>
        <w:tabs>
          <w:tab w:val="left" w:pos="-142"/>
          <w:tab w:val="left" w:pos="0"/>
          <w:tab w:val="left" w:pos="720"/>
          <w:tab w:val="clear" w:pos="84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价格评分：</w:t>
      </w:r>
    </w:p>
    <w:p w14:paraId="07A005D4">
      <w:pPr>
        <w:tabs>
          <w:tab w:val="left" w:pos="720"/>
        </w:tabs>
        <w:spacing w:line="360" w:lineRule="auto"/>
        <w:ind w:firstLine="420" w:firstLineChars="200"/>
        <w:jc w:val="both"/>
        <w:rPr>
          <w:rFonts w:ascii="宋体" w:hAnsi="宋体" w:cs="宋体"/>
          <w:color w:val="auto"/>
          <w:highlight w:val="none"/>
        </w:rPr>
      </w:pPr>
      <w:r>
        <w:rPr>
          <w:rFonts w:hint="eastAsia" w:ascii="宋体" w:hAnsi="宋体" w:cs="宋体"/>
          <w:color w:val="auto"/>
          <w:highlight w:val="none"/>
        </w:rPr>
        <w:t>价格分采用低价优先法计算，即满足磋商文件要求且最后报价最低的供应商的价格为磋商基准价，其价格分为满分。其他供应商的价格分统一按照下列公式计算：</w:t>
      </w:r>
    </w:p>
    <w:p w14:paraId="2E83E758">
      <w:pPr>
        <w:tabs>
          <w:tab w:val="left" w:pos="720"/>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磋商基准价＝满足磋商文件要求且最后报价最低的价格</w:t>
      </w:r>
    </w:p>
    <w:p w14:paraId="5A1AA8E5">
      <w:pPr>
        <w:tabs>
          <w:tab w:val="left" w:pos="720"/>
        </w:tabs>
        <w:spacing w:line="360" w:lineRule="auto"/>
        <w:ind w:firstLine="420" w:firstLineChars="200"/>
        <w:jc w:val="both"/>
        <w:rPr>
          <w:rFonts w:ascii="宋体" w:hAnsi="宋体" w:cs="宋体"/>
          <w:color w:val="auto"/>
          <w:highlight w:val="none"/>
        </w:rPr>
      </w:pPr>
      <w:r>
        <w:rPr>
          <w:rFonts w:hint="eastAsia" w:ascii="宋体" w:hAnsi="宋体" w:cs="宋体"/>
          <w:color w:val="auto"/>
          <w:highlight w:val="none"/>
        </w:rPr>
        <w:t>供应商磋商报价得分＝</w:t>
      </w:r>
      <w:r>
        <w:rPr>
          <w:rFonts w:hint="eastAsia" w:ascii="宋体" w:hAnsi="宋体" w:cs="宋体"/>
          <w:color w:val="auto"/>
          <w:highlight w:val="none"/>
        </w:rPr>
        <w:fldChar w:fldCharType="begin"/>
      </w:r>
      <w:r>
        <w:rPr>
          <w:rFonts w:hint="eastAsia" w:ascii="宋体" w:hAnsi="宋体" w:cs="宋体"/>
          <w:color w:val="auto"/>
          <w:highlight w:val="none"/>
        </w:rPr>
        <w:instrText xml:space="preserve"> EQ \F(磋商基准价,最后磋商报价)</w:instrText>
      </w:r>
      <w:r>
        <w:rPr>
          <w:rFonts w:hint="eastAsia" w:ascii="宋体" w:hAnsi="宋体" w:cs="宋体"/>
          <w:color w:val="auto"/>
          <w:highlight w:val="none"/>
        </w:rPr>
        <w:fldChar w:fldCharType="end"/>
      </w:r>
      <w:r>
        <w:rPr>
          <w:rFonts w:hint="eastAsia" w:ascii="宋体" w:hAnsi="宋体" w:cs="宋体"/>
          <w:color w:val="auto"/>
          <w:highlight w:val="none"/>
        </w:rPr>
        <w:t>×满分</w:t>
      </w:r>
    </w:p>
    <w:p w14:paraId="1BD45C59">
      <w:pPr>
        <w:numPr>
          <w:ilvl w:val="1"/>
          <w:numId w:val="12"/>
        </w:numPr>
        <w:spacing w:line="360" w:lineRule="auto"/>
        <w:rPr>
          <w:rFonts w:ascii="宋体" w:hAnsi="宋体" w:cs="宋体"/>
          <w:b/>
          <w:color w:val="auto"/>
          <w:szCs w:val="21"/>
          <w:highlight w:val="none"/>
        </w:rPr>
      </w:pPr>
      <w:r>
        <w:rPr>
          <w:rFonts w:hint="eastAsia" w:ascii="宋体" w:hAnsi="宋体" w:cs="宋体"/>
          <w:b/>
          <w:color w:val="auto"/>
          <w:szCs w:val="21"/>
          <w:highlight w:val="none"/>
        </w:rPr>
        <w:t>综合评分的计算</w:t>
      </w:r>
    </w:p>
    <w:p w14:paraId="5B49B275">
      <w:pPr>
        <w:numPr>
          <w:ilvl w:val="0"/>
          <w:numId w:val="14"/>
        </w:numPr>
        <w:tabs>
          <w:tab w:val="left" w:pos="-142"/>
          <w:tab w:val="left" w:pos="0"/>
          <w:tab w:val="left" w:pos="720"/>
        </w:tabs>
        <w:spacing w:line="360" w:lineRule="auto"/>
        <w:jc w:val="both"/>
        <w:rPr>
          <w:rFonts w:ascii="宋体" w:hAnsi="宋体" w:cs="宋体"/>
          <w:color w:val="auto"/>
          <w:szCs w:val="21"/>
          <w:highlight w:val="none"/>
        </w:rPr>
      </w:pPr>
      <w:r>
        <w:rPr>
          <w:rFonts w:hint="eastAsia" w:ascii="宋体" w:hAnsi="宋体" w:cs="宋体"/>
          <w:color w:val="auto"/>
          <w:szCs w:val="21"/>
          <w:highlight w:val="none"/>
        </w:rPr>
        <w:t>各评委的评分的算术平均值即为该供应商的技术评分或商务评分。</w:t>
      </w:r>
    </w:p>
    <w:p w14:paraId="0664EDF5">
      <w:pPr>
        <w:numPr>
          <w:ilvl w:val="0"/>
          <w:numId w:val="14"/>
        </w:numPr>
        <w:tabs>
          <w:tab w:val="left" w:pos="-142"/>
          <w:tab w:val="left" w:pos="0"/>
          <w:tab w:val="left" w:pos="720"/>
          <w:tab w:val="clear" w:pos="840"/>
        </w:tabs>
        <w:spacing w:line="360" w:lineRule="auto"/>
        <w:ind w:left="0" w:firstLine="420"/>
        <w:jc w:val="both"/>
        <w:rPr>
          <w:rFonts w:ascii="宋体" w:hAnsi="宋体" w:cs="宋体"/>
          <w:color w:val="auto"/>
          <w:szCs w:val="21"/>
          <w:highlight w:val="none"/>
        </w:rPr>
      </w:pPr>
      <w:r>
        <w:rPr>
          <w:rFonts w:hint="eastAsia" w:ascii="宋体" w:hAnsi="宋体" w:cs="宋体"/>
          <w:color w:val="auto"/>
          <w:szCs w:val="21"/>
          <w:highlight w:val="none"/>
        </w:rPr>
        <w:t>综合评分=</w:t>
      </w:r>
      <w:r>
        <w:rPr>
          <w:rFonts w:hint="eastAsia" w:ascii="宋体" w:hAnsi="宋体" w:cs="宋体"/>
          <w:color w:val="auto"/>
          <w:szCs w:val="21"/>
          <w:highlight w:val="none"/>
          <w:lang w:val="en-US" w:eastAsia="zh-CN"/>
        </w:rPr>
        <w:t>技术评分</w:t>
      </w:r>
      <w:r>
        <w:rPr>
          <w:rFonts w:hint="eastAsia" w:ascii="宋体" w:hAnsi="宋体" w:cs="宋体"/>
          <w:color w:val="auto"/>
          <w:szCs w:val="21"/>
          <w:highlight w:val="none"/>
        </w:rPr>
        <w:t>＋商务评分＋价格评分</w:t>
      </w:r>
      <w:r>
        <w:rPr>
          <w:rFonts w:hint="eastAsia" w:ascii="宋体" w:hAnsi="宋体" w:cs="宋体"/>
          <w:color w:val="auto"/>
          <w:highlight w:val="none"/>
        </w:rPr>
        <w:t>（各项得分按四舍五入原则精确到小数点后两位）。</w:t>
      </w:r>
    </w:p>
    <w:p w14:paraId="186CBCBA">
      <w:pPr>
        <w:numPr>
          <w:ilvl w:val="1"/>
          <w:numId w:val="12"/>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成交候选供应商</w:t>
      </w:r>
    </w:p>
    <w:p w14:paraId="441EDD08">
      <w:pPr>
        <w:tabs>
          <w:tab w:val="left" w:pos="-142"/>
          <w:tab w:val="left" w:pos="0"/>
          <w:tab w:val="left" w:pos="720"/>
        </w:tabs>
        <w:spacing w:line="360" w:lineRule="auto"/>
        <w:ind w:firstLine="422" w:firstLineChars="200"/>
        <w:jc w:val="both"/>
        <w:rPr>
          <w:rFonts w:ascii="宋体" w:hAnsi="宋体" w:cs="宋体"/>
          <w:color w:val="auto"/>
          <w:szCs w:val="21"/>
          <w:highlight w:val="none"/>
        </w:rPr>
      </w:pPr>
      <w:r>
        <w:rPr>
          <w:rFonts w:hint="eastAsia" w:ascii="宋体" w:hAnsi="宋体" w:cs="宋体"/>
          <w:b/>
          <w:color w:val="auto"/>
          <w:highlight w:val="none"/>
        </w:rPr>
        <w:t>本项目推荐三名</w:t>
      </w:r>
      <w:r>
        <w:rPr>
          <w:rFonts w:hint="eastAsia" w:ascii="宋体" w:hAnsi="宋体" w:cs="宋体"/>
          <w:b/>
          <w:color w:val="auto"/>
          <w:szCs w:val="21"/>
          <w:highlight w:val="none"/>
        </w:rPr>
        <w:t>成交候选供应商</w:t>
      </w:r>
      <w:r>
        <w:rPr>
          <w:rFonts w:hint="eastAsia" w:ascii="宋体" w:hAnsi="宋体" w:cs="宋体"/>
          <w:b/>
          <w:color w:val="auto"/>
          <w:highlight w:val="none"/>
        </w:rPr>
        <w:t>。</w:t>
      </w:r>
      <w:r>
        <w:rPr>
          <w:rFonts w:hint="eastAsia" w:ascii="宋体" w:hAnsi="宋体" w:cs="宋体"/>
          <w:color w:val="auto"/>
          <w:highlight w:val="none"/>
        </w:rPr>
        <w:t>将各有效供应商按其综合总得分由高到低顺序排列。综合总得分相同的，按下列顺序比较确定：（1）</w:t>
      </w:r>
      <w:r>
        <w:rPr>
          <w:rFonts w:hint="eastAsia" w:ascii="宋体" w:hAnsi="宋体" w:cs="宋体"/>
          <w:color w:val="auto"/>
          <w:szCs w:val="21"/>
          <w:highlight w:val="none"/>
        </w:rPr>
        <w:t>最后报价</w:t>
      </w:r>
      <w:r>
        <w:rPr>
          <w:rFonts w:hint="eastAsia" w:ascii="宋体" w:hAnsi="宋体" w:cs="宋体"/>
          <w:color w:val="auto"/>
          <w:highlight w:val="none"/>
        </w:rPr>
        <w:t>（由低到高）；（2）</w:t>
      </w:r>
      <w:r>
        <w:rPr>
          <w:rFonts w:hint="eastAsia" w:ascii="宋体" w:hAnsi="宋体" w:cs="宋体"/>
          <w:color w:val="auto"/>
          <w:highlight w:val="none"/>
          <w:lang w:val="en-US" w:eastAsia="zh-CN"/>
        </w:rPr>
        <w:t>技术</w:t>
      </w:r>
      <w:r>
        <w:rPr>
          <w:rFonts w:hint="eastAsia" w:ascii="宋体" w:hAnsi="宋体" w:cs="宋体"/>
          <w:color w:val="auto"/>
          <w:highlight w:val="none"/>
        </w:rPr>
        <w:t>得分（由高到低）</w:t>
      </w:r>
      <w:r>
        <w:rPr>
          <w:rFonts w:hint="eastAsia" w:ascii="宋体" w:hAnsi="宋体" w:cs="宋体"/>
          <w:color w:val="auto"/>
          <w:highlight w:val="none"/>
          <w:lang w:eastAsia="zh-CN"/>
        </w:rPr>
        <w:t>。</w:t>
      </w:r>
      <w:r>
        <w:rPr>
          <w:rFonts w:hint="eastAsia" w:ascii="宋体" w:hAnsi="宋体" w:cs="宋体"/>
          <w:color w:val="auto"/>
          <w:highlight w:val="none"/>
        </w:rPr>
        <w:t>如以上都相同的，名次由磋商小组抽签确定。</w:t>
      </w:r>
      <w:r>
        <w:rPr>
          <w:rFonts w:hint="eastAsia" w:ascii="宋体" w:hAnsi="宋体" w:cs="宋体"/>
          <w:color w:val="auto"/>
          <w:szCs w:val="21"/>
          <w:highlight w:val="none"/>
        </w:rPr>
        <w:t>磋商小组按上述排列向采购人推荐综合总得分前三名为成交候选供应商。其余不列为成交候选供应商。</w:t>
      </w:r>
    </w:p>
    <w:p w14:paraId="4F11DA51">
      <w:pPr>
        <w:tabs>
          <w:tab w:val="left" w:pos="-142"/>
          <w:tab w:val="left" w:pos="0"/>
          <w:tab w:val="left" w:pos="720"/>
        </w:tabs>
        <w:spacing w:line="360" w:lineRule="auto"/>
        <w:ind w:left="420"/>
        <w:jc w:val="both"/>
        <w:rPr>
          <w:rFonts w:ascii="宋体" w:hAnsi="宋体" w:cs="宋体"/>
          <w:color w:val="auto"/>
          <w:szCs w:val="21"/>
          <w:highlight w:val="none"/>
        </w:rPr>
      </w:pPr>
    </w:p>
    <w:p w14:paraId="2226E6C0">
      <w:pPr>
        <w:widowControl w:val="0"/>
        <w:numPr>
          <w:ilvl w:val="0"/>
          <w:numId w:val="1"/>
        </w:numPr>
        <w:spacing w:line="360" w:lineRule="auto"/>
        <w:ind w:left="567" w:leftChars="0" w:hanging="567" w:firstLineChars="0"/>
        <w:outlineLvl w:val="1"/>
        <w:rPr>
          <w:rFonts w:ascii="宋体" w:hAnsi="宋体" w:cs="宋体"/>
          <w:b/>
          <w:color w:val="auto"/>
          <w:szCs w:val="21"/>
          <w:highlight w:val="none"/>
        </w:rPr>
      </w:pPr>
      <w:bookmarkStart w:id="134" w:name="_Toc6419"/>
      <w:bookmarkStart w:id="135" w:name="_Toc29678"/>
      <w:bookmarkStart w:id="136" w:name="_Toc3195"/>
      <w:bookmarkStart w:id="137" w:name="_Toc14143"/>
      <w:bookmarkStart w:id="138" w:name="_Toc529868265"/>
      <w:bookmarkStart w:id="139" w:name="_Toc530939238"/>
      <w:bookmarkStart w:id="140" w:name="_Toc6581"/>
      <w:bookmarkStart w:id="141" w:name="_Toc529868396"/>
      <w:bookmarkStart w:id="142" w:name="_Toc12434"/>
      <w:bookmarkStart w:id="143" w:name="_Toc4101"/>
      <w:bookmarkStart w:id="144" w:name="_Toc31625"/>
      <w:bookmarkStart w:id="145" w:name="_Toc2032"/>
      <w:bookmarkStart w:id="146" w:name="_Toc13188"/>
      <w:bookmarkStart w:id="147" w:name="_Toc15827"/>
      <w:bookmarkStart w:id="148" w:name="_Toc3315890"/>
      <w:bookmarkStart w:id="149" w:name="_Toc24603"/>
      <w:bookmarkStart w:id="150" w:name="_Toc525921391"/>
      <w:bookmarkStart w:id="151" w:name="_Toc13441"/>
      <w:bookmarkStart w:id="152" w:name="_Toc5061"/>
      <w:bookmarkStart w:id="153" w:name="_Toc13259"/>
      <w:bookmarkStart w:id="154" w:name="_Toc522520995"/>
      <w:bookmarkStart w:id="155" w:name="_Toc6938954"/>
      <w:bookmarkStart w:id="156" w:name="_Toc12686"/>
      <w:bookmarkStart w:id="157" w:name="_Toc20723"/>
      <w:bookmarkStart w:id="158" w:name="_Toc9409"/>
      <w:bookmarkStart w:id="159" w:name="_Toc7420"/>
      <w:bookmarkStart w:id="160" w:name="_Toc21401"/>
      <w:bookmarkStart w:id="161" w:name="_Toc25204"/>
      <w:bookmarkStart w:id="162" w:name="_Toc529868529"/>
      <w:bookmarkStart w:id="163" w:name="_Toc733"/>
      <w:r>
        <w:rPr>
          <w:rFonts w:hint="eastAsia" w:ascii="宋体" w:hAnsi="宋体" w:eastAsia="宋体" w:cs="宋体"/>
          <w:b/>
          <w:bCs/>
          <w:color w:val="auto"/>
          <w:szCs w:val="21"/>
          <w:highlight w:val="none"/>
        </w:rPr>
        <w:t>定标</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511FF8F">
      <w:pPr>
        <w:pStyle w:val="4"/>
        <w:numPr>
          <w:ilvl w:val="1"/>
          <w:numId w:val="15"/>
        </w:numPr>
        <w:tabs>
          <w:tab w:val="clear" w:pos="851"/>
        </w:tabs>
        <w:ind w:left="0" w:firstLine="425"/>
        <w:rPr>
          <w:rFonts w:hAnsi="宋体" w:cs="宋体"/>
          <w:color w:val="auto"/>
          <w:szCs w:val="21"/>
          <w:highlight w:val="none"/>
        </w:rPr>
      </w:pPr>
      <w:bookmarkStart w:id="164" w:name="_Toc30071"/>
      <w:bookmarkStart w:id="165" w:name="_Toc7566"/>
      <w:bookmarkStart w:id="166" w:name="_Toc525921392"/>
      <w:bookmarkStart w:id="167" w:name="_Toc530939239"/>
      <w:bookmarkStart w:id="168" w:name="_Toc18417"/>
      <w:bookmarkStart w:id="169" w:name="_Toc25596"/>
      <w:bookmarkStart w:id="170" w:name="_Toc17613"/>
      <w:bookmarkStart w:id="171" w:name="_Toc30858"/>
      <w:bookmarkStart w:id="172" w:name="_Toc529868530"/>
      <w:bookmarkStart w:id="173" w:name="_Toc529868397"/>
      <w:bookmarkStart w:id="174" w:name="_Toc7324"/>
      <w:bookmarkStart w:id="175" w:name="_Toc3315891"/>
      <w:bookmarkStart w:id="176" w:name="_Toc4747"/>
      <w:bookmarkStart w:id="177" w:name="_Toc4080"/>
      <w:bookmarkStart w:id="178" w:name="_Toc3"/>
      <w:bookmarkStart w:id="179" w:name="_Toc29202"/>
      <w:bookmarkStart w:id="180" w:name="_Toc18481"/>
      <w:bookmarkStart w:id="181" w:name="_Toc529868266"/>
      <w:bookmarkStart w:id="182" w:name="_Toc6968"/>
      <w:bookmarkStart w:id="183" w:name="_Toc26838"/>
      <w:bookmarkStart w:id="184" w:name="_Toc18911"/>
      <w:bookmarkStart w:id="185" w:name="_Toc522520996"/>
      <w:bookmarkStart w:id="186" w:name="_Toc19870"/>
      <w:bookmarkStart w:id="187" w:name="_Toc20099"/>
      <w:bookmarkStart w:id="188" w:name="_Toc2724"/>
      <w:bookmarkStart w:id="189" w:name="_Toc2663"/>
      <w:r>
        <w:rPr>
          <w:rFonts w:hint="eastAsia" w:hAnsi="宋体" w:cs="宋体"/>
          <w:color w:val="auto"/>
          <w:szCs w:val="21"/>
          <w:highlight w:val="none"/>
        </w:rPr>
        <w:t>计分结束后，磋商小组将综合总得分由高到低的排名顺序推荐前三名供应商为成交候选供应商。由采购代理机构负责整理《评审报告》，全体评委审核《评审报告》并签字确认。</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CBF44FC">
      <w:pPr>
        <w:pStyle w:val="4"/>
        <w:numPr>
          <w:ilvl w:val="1"/>
          <w:numId w:val="15"/>
        </w:numPr>
        <w:tabs>
          <w:tab w:val="clear" w:pos="851"/>
        </w:tabs>
        <w:ind w:left="0" w:firstLine="425"/>
        <w:rPr>
          <w:rFonts w:hAnsi="宋体" w:cs="宋体"/>
          <w:color w:val="auto"/>
          <w:szCs w:val="21"/>
          <w:highlight w:val="none"/>
        </w:rPr>
      </w:pPr>
      <w:bookmarkStart w:id="190" w:name="_Toc588"/>
      <w:bookmarkStart w:id="191" w:name="_Toc31662"/>
      <w:bookmarkStart w:id="192" w:name="_Toc22372"/>
      <w:bookmarkStart w:id="193" w:name="_Toc15911"/>
      <w:bookmarkStart w:id="194" w:name="_Toc525921393"/>
      <w:bookmarkStart w:id="195" w:name="_Toc529868398"/>
      <w:bookmarkStart w:id="196" w:name="_Toc24111"/>
      <w:bookmarkStart w:id="197" w:name="_Toc23672"/>
      <w:bookmarkStart w:id="198" w:name="_Toc21369"/>
      <w:bookmarkStart w:id="199" w:name="_Toc522520997"/>
      <w:bookmarkStart w:id="200" w:name="_Toc4594"/>
      <w:bookmarkStart w:id="201" w:name="_Toc30367"/>
      <w:bookmarkStart w:id="202" w:name="_Toc25360"/>
      <w:bookmarkStart w:id="203" w:name="_Toc3315892"/>
      <w:bookmarkStart w:id="204" w:name="_Toc16180"/>
      <w:bookmarkStart w:id="205" w:name="_Toc5695"/>
      <w:bookmarkStart w:id="206" w:name="_Toc23899"/>
      <w:bookmarkStart w:id="207" w:name="_Toc12690"/>
      <w:bookmarkStart w:id="208" w:name="_Toc530939240"/>
      <w:bookmarkStart w:id="209" w:name="_Toc23283"/>
      <w:bookmarkStart w:id="210" w:name="_Toc529868267"/>
      <w:bookmarkStart w:id="211" w:name="_Toc529868531"/>
      <w:bookmarkStart w:id="212" w:name="_Toc24031"/>
      <w:bookmarkStart w:id="213" w:name="_Toc10962"/>
      <w:bookmarkStart w:id="214" w:name="_Toc5388"/>
      <w:bookmarkStart w:id="215" w:name="_Toc30351"/>
      <w:r>
        <w:rPr>
          <w:rFonts w:hint="eastAsia" w:hAnsi="宋体" w:cs="宋体"/>
          <w:color w:val="auto"/>
          <w:szCs w:val="21"/>
          <w:highlight w:val="none"/>
        </w:rPr>
        <w:t>采购人根据磋商小组的推荐意见和有关法规确定</w:t>
      </w:r>
      <w:r>
        <w:rPr>
          <w:rFonts w:hint="eastAsia" w:hAnsi="宋体" w:cs="宋体"/>
          <w:color w:val="auto"/>
          <w:szCs w:val="21"/>
          <w:highlight w:val="none"/>
          <w:lang w:val="en-US" w:eastAsia="zh-CN"/>
        </w:rPr>
        <w:t>一名</w:t>
      </w:r>
      <w:r>
        <w:rPr>
          <w:rFonts w:hint="eastAsia" w:hAnsi="宋体" w:cs="宋体"/>
          <w:color w:val="auto"/>
          <w:szCs w:val="21"/>
          <w:highlight w:val="none"/>
        </w:rPr>
        <w:t>成交供应商。</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859B889">
      <w:pPr>
        <w:pStyle w:val="4"/>
        <w:numPr>
          <w:ilvl w:val="1"/>
          <w:numId w:val="15"/>
        </w:numPr>
        <w:tabs>
          <w:tab w:val="clear" w:pos="851"/>
        </w:tabs>
        <w:ind w:left="0" w:firstLine="425"/>
        <w:rPr>
          <w:rFonts w:hAnsi="宋体" w:cs="宋体"/>
          <w:color w:val="auto"/>
          <w:szCs w:val="21"/>
          <w:highlight w:val="none"/>
        </w:rPr>
      </w:pPr>
      <w:bookmarkStart w:id="216" w:name="_Toc530939243"/>
      <w:bookmarkStart w:id="217" w:name="_Toc19595"/>
      <w:bookmarkStart w:id="218" w:name="_Toc6452"/>
      <w:bookmarkStart w:id="219" w:name="_Toc21638"/>
      <w:bookmarkStart w:id="220" w:name="_Toc25813"/>
      <w:bookmarkStart w:id="221" w:name="_Toc27102"/>
      <w:bookmarkStart w:id="222" w:name="_Toc12673"/>
      <w:bookmarkStart w:id="223" w:name="_Toc9494"/>
      <w:bookmarkStart w:id="224" w:name="_Toc28484"/>
      <w:bookmarkStart w:id="225" w:name="_Toc12"/>
      <w:bookmarkStart w:id="226" w:name="_Toc25913"/>
      <w:bookmarkStart w:id="227" w:name="_Toc6151"/>
      <w:bookmarkStart w:id="228" w:name="_Toc3315895"/>
      <w:bookmarkStart w:id="229" w:name="_Toc529868401"/>
      <w:bookmarkStart w:id="230" w:name="_Toc522521000"/>
      <w:bookmarkStart w:id="231" w:name="_Toc5265"/>
      <w:bookmarkStart w:id="232" w:name="_Toc529868270"/>
      <w:bookmarkStart w:id="233" w:name="_Toc31775"/>
      <w:bookmarkStart w:id="234" w:name="_Toc529868534"/>
      <w:bookmarkStart w:id="235" w:name="_Toc9259"/>
      <w:bookmarkStart w:id="236" w:name="_Toc525921396"/>
      <w:bookmarkStart w:id="237" w:name="_Toc28999"/>
      <w:bookmarkStart w:id="238" w:name="_Toc6352"/>
      <w:bookmarkStart w:id="239" w:name="_Toc21858"/>
      <w:bookmarkStart w:id="240" w:name="_Toc15706"/>
      <w:bookmarkStart w:id="241" w:name="_Toc22182"/>
      <w:r>
        <w:rPr>
          <w:rFonts w:hint="eastAsia" w:hAnsi="宋体" w:cs="宋体"/>
          <w:color w:val="auto"/>
          <w:szCs w:val="21"/>
          <w:highlight w:val="none"/>
        </w:rPr>
        <w:t>采购结果确认后，采购代理机构将成交结果在相关媒体进行公告。不在成交候选供应商名单之列者即为落标人，采购代理机构不再以其它方式另行通知。</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3D09A91">
      <w:pPr>
        <w:pStyle w:val="4"/>
        <w:numPr>
          <w:ilvl w:val="1"/>
          <w:numId w:val="15"/>
        </w:numPr>
        <w:tabs>
          <w:tab w:val="clear" w:pos="851"/>
        </w:tabs>
        <w:ind w:left="0" w:firstLine="425"/>
        <w:rPr>
          <w:rFonts w:hAnsi="宋体" w:cs="宋体"/>
          <w:color w:val="auto"/>
          <w:szCs w:val="21"/>
          <w:highlight w:val="none"/>
        </w:rPr>
      </w:pPr>
      <w:bookmarkStart w:id="242" w:name="_Toc530939244"/>
      <w:bookmarkStart w:id="243" w:name="_Toc8016"/>
      <w:bookmarkStart w:id="244" w:name="_Toc15342"/>
      <w:bookmarkStart w:id="245" w:name="_Toc17459"/>
      <w:bookmarkStart w:id="246" w:name="_Toc17284"/>
      <w:bookmarkStart w:id="247" w:name="_Toc529868535"/>
      <w:bookmarkStart w:id="248" w:name="_Toc3315896"/>
      <w:bookmarkStart w:id="249" w:name="_Toc8176"/>
      <w:bookmarkStart w:id="250" w:name="_Toc21730"/>
      <w:bookmarkStart w:id="251" w:name="_Toc29438"/>
      <w:bookmarkStart w:id="252" w:name="_Toc21395"/>
      <w:bookmarkStart w:id="253" w:name="_Toc23917"/>
      <w:bookmarkStart w:id="254" w:name="_Toc12502"/>
      <w:bookmarkStart w:id="255" w:name="_Toc18103"/>
      <w:bookmarkStart w:id="256" w:name="_Toc18289"/>
      <w:bookmarkStart w:id="257" w:name="_Toc5370"/>
      <w:bookmarkStart w:id="258" w:name="_Toc1689"/>
      <w:bookmarkStart w:id="259" w:name="_Toc32264"/>
      <w:bookmarkStart w:id="260" w:name="_Toc30231"/>
      <w:bookmarkStart w:id="261" w:name="_Toc522521001"/>
      <w:bookmarkStart w:id="262" w:name="_Toc9996"/>
      <w:bookmarkStart w:id="263" w:name="_Toc529868402"/>
      <w:bookmarkStart w:id="264" w:name="_Toc529868271"/>
      <w:bookmarkStart w:id="265" w:name="_Toc7482"/>
      <w:bookmarkStart w:id="266" w:name="_Toc6609"/>
      <w:bookmarkStart w:id="267" w:name="_Toc525921397"/>
      <w:r>
        <w:rPr>
          <w:rFonts w:hint="eastAsia" w:hAnsi="宋体" w:cs="宋体"/>
          <w:color w:val="auto"/>
          <w:szCs w:val="21"/>
          <w:highlight w:val="none"/>
        </w:rPr>
        <w:t>成交结果公告后，采购代理机构以书面形式向成交供应商发出《通知函》。</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D106991">
      <w:pPr>
        <w:pStyle w:val="4"/>
        <w:numPr>
          <w:ilvl w:val="1"/>
          <w:numId w:val="15"/>
        </w:numPr>
        <w:tabs>
          <w:tab w:val="clear" w:pos="851"/>
        </w:tabs>
        <w:ind w:left="0" w:firstLine="425"/>
        <w:rPr>
          <w:rFonts w:hAnsi="宋体" w:cs="宋体"/>
          <w:color w:val="auto"/>
          <w:szCs w:val="21"/>
          <w:highlight w:val="none"/>
        </w:rPr>
      </w:pPr>
      <w:bookmarkStart w:id="268" w:name="_Toc21271"/>
      <w:bookmarkStart w:id="269" w:name="_Toc16150"/>
      <w:bookmarkStart w:id="270" w:name="_Toc10855"/>
      <w:bookmarkStart w:id="271" w:name="_Toc20578"/>
      <w:bookmarkStart w:id="272" w:name="_Toc29116"/>
      <w:bookmarkStart w:id="273" w:name="_Toc525921398"/>
      <w:bookmarkStart w:id="274" w:name="_Toc22992"/>
      <w:bookmarkStart w:id="275" w:name="_Toc9850"/>
      <w:bookmarkStart w:id="276" w:name="_Toc522521002"/>
      <w:bookmarkStart w:id="277" w:name="_Toc10678"/>
      <w:bookmarkStart w:id="278" w:name="_Toc128"/>
      <w:bookmarkStart w:id="279" w:name="_Toc8151"/>
      <w:bookmarkStart w:id="280" w:name="_Toc29033"/>
      <w:bookmarkStart w:id="281" w:name="_Toc24488"/>
      <w:bookmarkStart w:id="282" w:name="_Toc12646"/>
      <w:bookmarkStart w:id="283" w:name="_Toc530939245"/>
      <w:bookmarkStart w:id="284" w:name="_Toc24606"/>
      <w:bookmarkStart w:id="285" w:name="_Toc529868536"/>
      <w:bookmarkStart w:id="286" w:name="_Toc25106"/>
      <w:bookmarkStart w:id="287" w:name="_Toc9115"/>
      <w:bookmarkStart w:id="288" w:name="_Toc3315897"/>
      <w:bookmarkStart w:id="289" w:name="_Toc529868272"/>
      <w:bookmarkStart w:id="290" w:name="_Toc21278"/>
      <w:bookmarkStart w:id="291" w:name="_Toc27216"/>
      <w:bookmarkStart w:id="292" w:name="_Toc18685"/>
      <w:bookmarkStart w:id="293" w:name="_Toc529868403"/>
      <w:r>
        <w:rPr>
          <w:rFonts w:hint="eastAsia" w:hAnsi="宋体" w:cs="宋体"/>
          <w:color w:val="auto"/>
          <w:szCs w:val="21"/>
          <w:highlight w:val="none"/>
        </w:rPr>
        <w:t>成交供应商到采购代理机构领取《成交通知书》。《成交通知书》将作为授予合同资格的唯一合法依据。</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08FE2EEA">
      <w:pPr>
        <w:pStyle w:val="4"/>
        <w:numPr>
          <w:ilvl w:val="1"/>
          <w:numId w:val="15"/>
        </w:numPr>
        <w:tabs>
          <w:tab w:val="clear" w:pos="851"/>
        </w:tabs>
        <w:ind w:left="0" w:firstLine="425"/>
        <w:rPr>
          <w:rFonts w:hAnsi="宋体" w:cs="宋体"/>
          <w:color w:val="auto"/>
          <w:szCs w:val="21"/>
          <w:highlight w:val="none"/>
        </w:rPr>
      </w:pPr>
      <w:bookmarkStart w:id="294" w:name="_Toc522521003"/>
      <w:bookmarkStart w:id="295" w:name="_Toc22131"/>
      <w:bookmarkStart w:id="296" w:name="_Toc6153"/>
      <w:bookmarkStart w:id="297" w:name="_Toc25657"/>
      <w:bookmarkStart w:id="298" w:name="_Toc16132"/>
      <w:bookmarkStart w:id="299" w:name="_Toc4587"/>
      <w:bookmarkStart w:id="300" w:name="_Toc32474"/>
      <w:bookmarkStart w:id="301" w:name="_Toc529868537"/>
      <w:bookmarkStart w:id="302" w:name="_Toc25849"/>
      <w:bookmarkStart w:id="303" w:name="_Toc19181"/>
      <w:bookmarkStart w:id="304" w:name="_Toc24806"/>
      <w:bookmarkStart w:id="305" w:name="_Toc31828"/>
      <w:bookmarkStart w:id="306" w:name="_Toc9456"/>
      <w:bookmarkStart w:id="307" w:name="_Toc3315898"/>
      <w:bookmarkStart w:id="308" w:name="_Toc26527"/>
      <w:bookmarkStart w:id="309" w:name="_Toc5274"/>
      <w:bookmarkStart w:id="310" w:name="_Toc529868404"/>
      <w:bookmarkStart w:id="311" w:name="_Toc15501"/>
      <w:bookmarkStart w:id="312" w:name="_Toc19873"/>
      <w:bookmarkStart w:id="313" w:name="_Toc28988"/>
      <w:bookmarkStart w:id="314" w:name="_Toc29240"/>
      <w:bookmarkStart w:id="315" w:name="_Toc530939246"/>
      <w:bookmarkStart w:id="316" w:name="_Toc28782"/>
      <w:bookmarkStart w:id="317" w:name="_Toc10235"/>
      <w:bookmarkStart w:id="318" w:name="_Toc525921399"/>
      <w:bookmarkStart w:id="319" w:name="_Toc529868273"/>
      <w:r>
        <w:rPr>
          <w:rFonts w:hint="eastAsia" w:hAnsi="宋体" w:cs="宋体"/>
          <w:color w:val="auto"/>
          <w:szCs w:val="21"/>
          <w:highlight w:val="none"/>
        </w:rPr>
        <w:t>成交供应商放弃成交的，应当依法承担法律责任。</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871C636">
      <w:pPr>
        <w:pStyle w:val="5"/>
        <w:ind w:firstLine="0"/>
        <w:rPr>
          <w:rFonts w:ascii="宋体" w:hAnsi="宋体" w:cs="宋体"/>
          <w:color w:val="auto"/>
          <w:szCs w:val="21"/>
          <w:highlight w:val="none"/>
        </w:rPr>
      </w:pPr>
    </w:p>
    <w:p w14:paraId="54587347">
      <w:pPr>
        <w:widowControl w:val="0"/>
        <w:numPr>
          <w:ilvl w:val="0"/>
          <w:numId w:val="1"/>
        </w:numPr>
        <w:spacing w:line="360" w:lineRule="auto"/>
        <w:ind w:left="567" w:leftChars="0" w:hanging="567" w:firstLineChars="0"/>
        <w:outlineLvl w:val="1"/>
        <w:rPr>
          <w:rFonts w:ascii="宋体" w:hAnsi="宋体" w:cs="宋体"/>
          <w:b/>
          <w:color w:val="auto"/>
          <w:szCs w:val="21"/>
          <w:highlight w:val="none"/>
        </w:rPr>
      </w:pPr>
      <w:bookmarkStart w:id="320" w:name="_Toc525921400"/>
      <w:bookmarkStart w:id="321" w:name="_Toc16817"/>
      <w:bookmarkStart w:id="322" w:name="_Toc42394515"/>
      <w:bookmarkStart w:id="323" w:name="_Toc41723934"/>
      <w:bookmarkStart w:id="324" w:name="_Toc27309"/>
      <w:bookmarkStart w:id="325" w:name="_Toc530939247"/>
      <w:bookmarkStart w:id="326" w:name="_Toc98579009"/>
      <w:bookmarkStart w:id="327" w:name="_Toc3315899"/>
      <w:bookmarkStart w:id="328" w:name="_Toc50276155"/>
      <w:bookmarkStart w:id="329" w:name="_Toc23621"/>
      <w:bookmarkStart w:id="330" w:name="_Toc2160"/>
      <w:bookmarkStart w:id="331" w:name="_Toc529868405"/>
      <w:bookmarkStart w:id="332" w:name="_Toc522521004"/>
      <w:bookmarkStart w:id="333" w:name="_Toc529868538"/>
      <w:bookmarkStart w:id="334" w:name="_Toc101843132"/>
      <w:bookmarkStart w:id="335" w:name="_Toc17678"/>
      <w:bookmarkStart w:id="336" w:name="_Toc27735"/>
      <w:bookmarkStart w:id="337" w:name="_Toc16616"/>
      <w:bookmarkStart w:id="338" w:name="_Toc23150"/>
      <w:bookmarkStart w:id="339" w:name="_Toc1450"/>
      <w:bookmarkStart w:id="340" w:name="_Toc2159"/>
      <w:bookmarkStart w:id="341" w:name="_Toc25003"/>
      <w:bookmarkStart w:id="342" w:name="_Toc2272"/>
      <w:bookmarkStart w:id="343" w:name="_Toc529868274"/>
      <w:bookmarkStart w:id="344" w:name="_Toc101951270"/>
      <w:bookmarkStart w:id="345" w:name="_Toc101775132"/>
      <w:bookmarkStart w:id="346" w:name="_Toc6938955"/>
      <w:bookmarkStart w:id="347" w:name="_Toc98579608"/>
      <w:bookmarkStart w:id="348" w:name="_Toc11245"/>
      <w:bookmarkStart w:id="349" w:name="_Toc18180"/>
      <w:bookmarkStart w:id="350" w:name="_Toc41884704"/>
      <w:bookmarkStart w:id="351" w:name="_Toc6837"/>
      <w:bookmarkStart w:id="352" w:name="_Toc12965"/>
      <w:bookmarkStart w:id="353" w:name="_Toc42394671"/>
      <w:bookmarkStart w:id="354" w:name="_Toc18827"/>
      <w:bookmarkStart w:id="355" w:name="_Toc24812"/>
      <w:bookmarkStart w:id="356" w:name="_Toc42313170"/>
      <w:bookmarkStart w:id="357" w:name="_Toc23555"/>
      <w:bookmarkStart w:id="358" w:name="_Toc98579067"/>
      <w:bookmarkStart w:id="359" w:name="_Toc101771379"/>
      <w:bookmarkStart w:id="360" w:name="_Toc9019"/>
      <w:bookmarkStart w:id="361" w:name="_Toc12352"/>
      <w:bookmarkStart w:id="362" w:name="_Toc98580291"/>
      <w:bookmarkStart w:id="363" w:name="_Toc13226"/>
      <w:r>
        <w:rPr>
          <w:rFonts w:hint="eastAsia" w:ascii="宋体" w:hAnsi="宋体" w:cs="宋体"/>
          <w:b/>
          <w:color w:val="auto"/>
          <w:szCs w:val="21"/>
          <w:highlight w:val="none"/>
        </w:rPr>
        <w:t>签约</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2625DA6E">
      <w:pPr>
        <w:pStyle w:val="4"/>
        <w:numPr>
          <w:ilvl w:val="1"/>
          <w:numId w:val="16"/>
        </w:numPr>
        <w:tabs>
          <w:tab w:val="clear" w:pos="851"/>
        </w:tabs>
        <w:ind w:left="0" w:firstLine="425"/>
        <w:rPr>
          <w:rFonts w:hAnsi="宋体" w:cs="宋体"/>
          <w:color w:val="auto"/>
          <w:szCs w:val="21"/>
          <w:highlight w:val="none"/>
        </w:rPr>
      </w:pPr>
      <w:bookmarkStart w:id="364" w:name="_Toc529868539"/>
      <w:bookmarkStart w:id="365" w:name="_Toc8027"/>
      <w:bookmarkStart w:id="366" w:name="_Toc19388"/>
      <w:bookmarkStart w:id="367" w:name="_Toc8734"/>
      <w:bookmarkStart w:id="368" w:name="_Toc105"/>
      <w:bookmarkStart w:id="369" w:name="_Toc11811"/>
      <w:bookmarkStart w:id="370" w:name="_Toc6212"/>
      <w:bookmarkStart w:id="371" w:name="_Toc522521005"/>
      <w:bookmarkStart w:id="372" w:name="_Toc529868275"/>
      <w:bookmarkStart w:id="373" w:name="_Toc525921401"/>
      <w:bookmarkStart w:id="374" w:name="_Toc24897"/>
      <w:bookmarkStart w:id="375" w:name="_Toc530939248"/>
      <w:bookmarkStart w:id="376" w:name="_Toc281"/>
      <w:bookmarkStart w:id="377" w:name="_Toc27228"/>
      <w:bookmarkStart w:id="378" w:name="_Toc529868406"/>
      <w:bookmarkStart w:id="379" w:name="_Toc8391"/>
      <w:bookmarkStart w:id="380" w:name="_Toc28303"/>
      <w:bookmarkStart w:id="381" w:name="_Toc23051"/>
      <w:bookmarkStart w:id="382" w:name="_Toc19038"/>
      <w:bookmarkStart w:id="383" w:name="_Toc8615"/>
      <w:bookmarkStart w:id="384" w:name="_Toc21318"/>
      <w:bookmarkStart w:id="385" w:name="_Toc9007"/>
      <w:bookmarkStart w:id="386" w:name="_Toc3315900"/>
      <w:bookmarkStart w:id="387" w:name="_Toc21081"/>
      <w:bookmarkStart w:id="388" w:name="_Toc22060"/>
      <w:bookmarkStart w:id="389" w:name="_Toc21339"/>
      <w:r>
        <w:rPr>
          <w:rFonts w:hint="eastAsia" w:hAnsi="宋体" w:cs="宋体"/>
          <w:color w:val="auto"/>
          <w:szCs w:val="21"/>
          <w:highlight w:val="none"/>
        </w:rPr>
        <w:t>采购人应当自《成交通知书》发出之日起30日内，按照磋商文件和成交供应商响应文件的约定，与成交供应商签订书面合同。所签订的合同不得对磋商文件和成交供应商响应文件作实质性修改。</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450856A">
      <w:pPr>
        <w:pStyle w:val="4"/>
        <w:numPr>
          <w:ilvl w:val="1"/>
          <w:numId w:val="16"/>
        </w:numPr>
        <w:tabs>
          <w:tab w:val="clear" w:pos="851"/>
        </w:tabs>
        <w:ind w:left="0" w:firstLine="425"/>
        <w:rPr>
          <w:rFonts w:hAnsi="宋体" w:cs="宋体"/>
          <w:color w:val="auto"/>
          <w:szCs w:val="21"/>
          <w:highlight w:val="none"/>
        </w:rPr>
      </w:pPr>
      <w:bookmarkStart w:id="390" w:name="_Toc522521006"/>
      <w:bookmarkStart w:id="391" w:name="_Toc30204"/>
      <w:bookmarkStart w:id="392" w:name="_Toc377"/>
      <w:bookmarkStart w:id="393" w:name="_Toc28770"/>
      <w:bookmarkStart w:id="394" w:name="_Toc26793"/>
      <w:bookmarkStart w:id="395" w:name="_Toc17928"/>
      <w:bookmarkStart w:id="396" w:name="_Toc6715"/>
      <w:bookmarkStart w:id="397" w:name="_Toc4746"/>
      <w:bookmarkStart w:id="398" w:name="_Toc22126"/>
      <w:bookmarkStart w:id="399" w:name="_Toc3635"/>
      <w:bookmarkStart w:id="400" w:name="_Toc27151"/>
      <w:bookmarkStart w:id="401" w:name="_Toc529868407"/>
      <w:bookmarkStart w:id="402" w:name="_Toc23000"/>
      <w:bookmarkStart w:id="403" w:name="_Toc3315901"/>
      <w:bookmarkStart w:id="404" w:name="_Toc13472"/>
      <w:bookmarkStart w:id="405" w:name="_Toc8835"/>
      <w:bookmarkStart w:id="406" w:name="_Toc19587"/>
      <w:bookmarkStart w:id="407" w:name="_Toc530939249"/>
      <w:bookmarkStart w:id="408" w:name="_Toc3502"/>
      <w:bookmarkStart w:id="409" w:name="_Toc15212"/>
      <w:bookmarkStart w:id="410" w:name="_Toc5365"/>
      <w:bookmarkStart w:id="411" w:name="_Toc25429"/>
      <w:bookmarkStart w:id="412" w:name="_Toc529868540"/>
      <w:bookmarkStart w:id="413" w:name="_Toc529868276"/>
      <w:bookmarkStart w:id="414" w:name="_Toc525921402"/>
      <w:bookmarkStart w:id="415" w:name="_Toc25367"/>
      <w:r>
        <w:rPr>
          <w:rFonts w:hint="eastAsia" w:hAnsi="宋体" w:cs="宋体"/>
          <w:color w:val="auto"/>
          <w:szCs w:val="21"/>
          <w:highlight w:val="none"/>
        </w:rPr>
        <w:t>采购人不得向成交供应商提出任何不合理的要求，作为签订合同的条件，不得与成交供应商私下订立背离合同实质性内容的协议。</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918BA8E">
      <w:pPr>
        <w:pStyle w:val="5"/>
        <w:ind w:firstLine="0"/>
        <w:rPr>
          <w:rFonts w:ascii="宋体" w:hAnsi="宋体" w:cs="宋体"/>
          <w:color w:val="auto"/>
          <w:szCs w:val="21"/>
          <w:highlight w:val="none"/>
        </w:rPr>
      </w:pPr>
    </w:p>
    <w:p w14:paraId="4B3D3444">
      <w:pPr>
        <w:pStyle w:val="5"/>
        <w:ind w:firstLine="0"/>
        <w:rPr>
          <w:rFonts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附表一：</w:t>
      </w:r>
    </w:p>
    <w:p w14:paraId="5061F653">
      <w:pPr>
        <w:pStyle w:val="5"/>
        <w:spacing w:line="360" w:lineRule="auto"/>
        <w:ind w:firstLine="0"/>
        <w:rPr>
          <w:rFonts w:ascii="宋体" w:hAnsi="宋体" w:cs="宋体"/>
          <w:color w:val="auto"/>
          <w:szCs w:val="21"/>
          <w:highlight w:val="none"/>
        </w:rPr>
      </w:pPr>
    </w:p>
    <w:p w14:paraId="51538ECE">
      <w:pPr>
        <w:tabs>
          <w:tab w:val="left" w:pos="720"/>
          <w:tab w:val="left" w:pos="1080"/>
        </w:tabs>
        <w:spacing w:line="360" w:lineRule="auto"/>
        <w:ind w:left="840"/>
        <w:jc w:val="center"/>
        <w:rPr>
          <w:rFonts w:hint="eastAsia" w:ascii="宋体" w:hAnsi="宋体" w:cs="宋体"/>
          <w:b/>
          <w:szCs w:val="21"/>
          <w:highlight w:val="none"/>
        </w:rPr>
      </w:pPr>
      <w:r>
        <w:rPr>
          <w:rFonts w:hint="eastAsia" w:ascii="宋体" w:hAnsi="宋体" w:cs="宋体"/>
          <w:b/>
          <w:szCs w:val="21"/>
          <w:highlight w:val="none"/>
        </w:rPr>
        <w:t>资格性审查表</w:t>
      </w:r>
    </w:p>
    <w:tbl>
      <w:tblPr>
        <w:tblStyle w:val="13"/>
        <w:tblW w:w="9712"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51"/>
        <w:gridCol w:w="8861"/>
      </w:tblGrid>
      <w:tr w14:paraId="78C3729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51" w:type="dxa"/>
            <w:tcBorders>
              <w:top w:val="outset" w:color="111111" w:sz="6" w:space="0"/>
              <w:left w:val="outset" w:color="111111" w:sz="6" w:space="0"/>
              <w:bottom w:val="outset" w:color="111111" w:sz="6" w:space="0"/>
              <w:right w:val="outset" w:color="111111" w:sz="6" w:space="0"/>
            </w:tcBorders>
            <w:vAlign w:val="center"/>
          </w:tcPr>
          <w:p w14:paraId="0F267367">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highlight w:val="none"/>
              </w:rPr>
            </w:pPr>
            <w:r>
              <w:rPr>
                <w:rStyle w:val="15"/>
                <w:rFonts w:hint="eastAsia" w:ascii="宋体" w:hAnsi="宋体" w:cs="宋体"/>
                <w:szCs w:val="21"/>
                <w:highlight w:val="none"/>
              </w:rPr>
              <w:t>审查项目</w:t>
            </w:r>
          </w:p>
        </w:tc>
        <w:tc>
          <w:tcPr>
            <w:tcW w:w="8861" w:type="dxa"/>
            <w:tcBorders>
              <w:top w:val="outset" w:color="111111" w:sz="6" w:space="0"/>
              <w:left w:val="outset" w:color="111111" w:sz="6" w:space="0"/>
              <w:bottom w:val="outset" w:color="111111" w:sz="6" w:space="0"/>
              <w:right w:val="outset" w:color="111111" w:sz="6" w:space="0"/>
            </w:tcBorders>
            <w:vAlign w:val="center"/>
          </w:tcPr>
          <w:p w14:paraId="774128C6">
            <w:pPr>
              <w:keepNext w:val="0"/>
              <w:keepLines w:val="0"/>
              <w:widowControl/>
              <w:suppressLineNumbers w:val="0"/>
              <w:spacing w:before="0" w:beforeAutospacing="0" w:after="0" w:afterAutospacing="0" w:line="360" w:lineRule="auto"/>
              <w:ind w:left="0" w:right="0"/>
              <w:jc w:val="center"/>
              <w:rPr>
                <w:rFonts w:hint="eastAsia" w:ascii="宋体" w:hAnsi="宋体" w:cs="宋体"/>
                <w:szCs w:val="21"/>
                <w:highlight w:val="none"/>
              </w:rPr>
            </w:pPr>
            <w:r>
              <w:rPr>
                <w:rStyle w:val="15"/>
                <w:rFonts w:hint="eastAsia" w:ascii="宋体" w:hAnsi="宋体" w:cs="宋体"/>
                <w:szCs w:val="21"/>
                <w:highlight w:val="none"/>
              </w:rPr>
              <w:t>要求</w:t>
            </w:r>
          </w:p>
        </w:tc>
      </w:tr>
      <w:tr w14:paraId="5D26FE9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851" w:type="dxa"/>
            <w:tcBorders>
              <w:top w:val="outset" w:color="111111" w:sz="6" w:space="0"/>
              <w:left w:val="outset" w:color="111111" w:sz="6" w:space="0"/>
              <w:right w:val="outset" w:color="111111" w:sz="6" w:space="0"/>
            </w:tcBorders>
            <w:vAlign w:val="center"/>
          </w:tcPr>
          <w:p w14:paraId="543A0271">
            <w:pPr>
              <w:pStyle w:val="12"/>
              <w:keepNext w:val="0"/>
              <w:keepLines w:val="0"/>
              <w:widowControl/>
              <w:suppressLineNumbers w:val="0"/>
              <w:spacing w:line="360" w:lineRule="auto"/>
              <w:ind w:left="0" w:right="0"/>
              <w:jc w:val="center"/>
              <w:rPr>
                <w:rFonts w:hint="eastAsia"/>
                <w:sz w:val="21"/>
                <w:szCs w:val="21"/>
                <w:highlight w:val="none"/>
              </w:rPr>
            </w:pPr>
            <w:r>
              <w:rPr>
                <w:rFonts w:hint="eastAsia"/>
                <w:sz w:val="21"/>
                <w:szCs w:val="21"/>
                <w:highlight w:val="none"/>
              </w:rPr>
              <w:t>资格性审查</w:t>
            </w:r>
          </w:p>
        </w:tc>
        <w:tc>
          <w:tcPr>
            <w:tcW w:w="8861" w:type="dxa"/>
            <w:tcBorders>
              <w:top w:val="outset" w:color="111111" w:sz="6" w:space="0"/>
              <w:left w:val="outset" w:color="111111" w:sz="6" w:space="0"/>
              <w:right w:val="outset" w:color="111111" w:sz="6" w:space="0"/>
            </w:tcBorders>
            <w:vAlign w:val="center"/>
          </w:tcPr>
          <w:p w14:paraId="65FD98B8">
            <w:pPr>
              <w:keepNext w:val="0"/>
              <w:keepLines w:val="0"/>
              <w:widowControl/>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与公告中供应商资格要求一致</w:t>
            </w:r>
          </w:p>
        </w:tc>
      </w:tr>
    </w:tbl>
    <w:p w14:paraId="75D9E4B1">
      <w:pPr>
        <w:pStyle w:val="5"/>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注：未通过资格性审查的供应商，不进入后续磋商。</w:t>
      </w:r>
    </w:p>
    <w:p w14:paraId="7181C032">
      <w:pPr>
        <w:pStyle w:val="5"/>
        <w:spacing w:line="360" w:lineRule="auto"/>
        <w:ind w:firstLine="0"/>
        <w:rPr>
          <w:rFonts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附表二：</w:t>
      </w:r>
    </w:p>
    <w:p w14:paraId="2110F3B8">
      <w:pPr>
        <w:pStyle w:val="5"/>
        <w:spacing w:line="360" w:lineRule="auto"/>
        <w:ind w:firstLine="0"/>
        <w:rPr>
          <w:rFonts w:ascii="宋体" w:hAnsi="宋体" w:cs="宋体"/>
          <w:color w:val="auto"/>
          <w:szCs w:val="21"/>
          <w:highlight w:val="none"/>
        </w:rPr>
      </w:pPr>
    </w:p>
    <w:p w14:paraId="53150004">
      <w:pPr>
        <w:tabs>
          <w:tab w:val="left" w:pos="720"/>
          <w:tab w:val="left" w:pos="1080"/>
        </w:tabs>
        <w:spacing w:line="360" w:lineRule="auto"/>
        <w:ind w:left="840"/>
        <w:jc w:val="center"/>
        <w:rPr>
          <w:rFonts w:ascii="宋体" w:hAnsi="宋体" w:cs="宋体"/>
          <w:b/>
          <w:color w:val="auto"/>
          <w:sz w:val="24"/>
          <w:szCs w:val="24"/>
          <w:highlight w:val="none"/>
        </w:rPr>
      </w:pPr>
      <w:r>
        <w:rPr>
          <w:rFonts w:hint="eastAsia" w:ascii="宋体" w:hAnsi="宋体" w:cs="宋体"/>
          <w:b/>
          <w:color w:val="auto"/>
          <w:sz w:val="24"/>
          <w:szCs w:val="24"/>
          <w:highlight w:val="none"/>
        </w:rPr>
        <w:t>符合性审查表</w:t>
      </w:r>
    </w:p>
    <w:tbl>
      <w:tblPr>
        <w:tblStyle w:val="13"/>
        <w:tblW w:w="9848"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022"/>
        <w:gridCol w:w="8826"/>
      </w:tblGrid>
      <w:tr w14:paraId="1A77A3D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68" w:hRule="atLeast"/>
          <w:tblHeade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3D54E5DB">
            <w:pPr>
              <w:keepNext w:val="0"/>
              <w:keepLines w:val="0"/>
              <w:widowControl/>
              <w:suppressLineNumbers w:val="0"/>
              <w:autoSpaceDE w:val="0"/>
              <w:autoSpaceDN w:val="0"/>
              <w:adjustRightInd w:val="0"/>
              <w:snapToGrid w:val="0"/>
              <w:spacing w:before="0" w:beforeAutospacing="0" w:after="0" w:afterAutospacing="0"/>
              <w:ind w:left="0" w:right="0"/>
              <w:jc w:val="center"/>
              <w:rPr>
                <w:rStyle w:val="15"/>
                <w:rFonts w:hint="eastAsia" w:ascii="宋体" w:hAnsi="宋体" w:eastAsia="宋体" w:cs="宋体"/>
                <w:color w:val="auto"/>
                <w:szCs w:val="20"/>
                <w:highlight w:val="none"/>
                <w:lang w:val="en-US" w:eastAsia="zh-CN"/>
              </w:rPr>
            </w:pPr>
            <w:r>
              <w:rPr>
                <w:rStyle w:val="15"/>
                <w:rFonts w:hint="eastAsia" w:ascii="宋体" w:hAnsi="宋体" w:cs="宋体"/>
                <w:color w:val="auto"/>
                <w:szCs w:val="20"/>
                <w:highlight w:val="none"/>
                <w:lang w:val="en-US" w:eastAsia="zh-CN"/>
              </w:rPr>
              <w:t>序号</w:t>
            </w:r>
          </w:p>
        </w:tc>
        <w:tc>
          <w:tcPr>
            <w:tcW w:w="8826" w:type="dxa"/>
            <w:tcBorders>
              <w:top w:val="outset" w:color="111111" w:sz="6" w:space="0"/>
              <w:left w:val="outset" w:color="111111" w:sz="6" w:space="0"/>
              <w:bottom w:val="outset" w:color="111111" w:sz="6" w:space="0"/>
              <w:right w:val="outset" w:color="111111" w:sz="6" w:space="0"/>
            </w:tcBorders>
            <w:vAlign w:val="center"/>
          </w:tcPr>
          <w:p w14:paraId="29B6B32D">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0"/>
                <w:highlight w:val="none"/>
                <w:lang w:val="en-US" w:eastAsia="zh-CN"/>
              </w:rPr>
            </w:pPr>
            <w:r>
              <w:rPr>
                <w:rStyle w:val="15"/>
                <w:rFonts w:hint="eastAsia" w:ascii="宋体" w:hAnsi="宋体" w:cs="宋体"/>
                <w:color w:val="auto"/>
                <w:szCs w:val="20"/>
                <w:highlight w:val="none"/>
              </w:rPr>
              <w:t>符合性审查</w:t>
            </w:r>
            <w:r>
              <w:rPr>
                <w:rStyle w:val="15"/>
                <w:rFonts w:hint="eastAsia" w:ascii="宋体" w:hAnsi="宋体" w:cs="宋体"/>
                <w:color w:val="auto"/>
                <w:szCs w:val="20"/>
                <w:highlight w:val="none"/>
                <w:lang w:val="en-US" w:eastAsia="zh-CN"/>
              </w:rPr>
              <w:t>内容</w:t>
            </w:r>
          </w:p>
        </w:tc>
      </w:tr>
      <w:tr w14:paraId="471840F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340C5778">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lang w:val="en-US" w:eastAsia="zh-CN"/>
              </w:rPr>
            </w:pPr>
            <w:r>
              <w:rPr>
                <w:rFonts w:hint="eastAsia" w:ascii="宋体" w:hAnsi="宋体" w:cs="宋体"/>
                <w:color w:val="auto"/>
                <w:szCs w:val="20"/>
                <w:highlight w:val="none"/>
                <w:lang w:val="en-US" w:eastAsia="zh-CN"/>
              </w:rPr>
              <w:t>1</w:t>
            </w:r>
          </w:p>
        </w:tc>
        <w:tc>
          <w:tcPr>
            <w:tcW w:w="8826" w:type="dxa"/>
            <w:tcBorders>
              <w:top w:val="outset" w:color="111111" w:sz="6" w:space="0"/>
              <w:left w:val="outset" w:color="111111" w:sz="6" w:space="0"/>
              <w:bottom w:val="outset" w:color="111111" w:sz="6" w:space="0"/>
              <w:right w:val="outset" w:color="111111" w:sz="6" w:space="0"/>
            </w:tcBorders>
            <w:vAlign w:val="center"/>
          </w:tcPr>
          <w:p w14:paraId="0D13F754">
            <w:pPr>
              <w:keepNext w:val="0"/>
              <w:keepLines w:val="0"/>
              <w:widowControl/>
              <w:suppressLineNumbers w:val="0"/>
              <w:spacing w:before="0" w:beforeAutospacing="0" w:after="0" w:afterAutospacing="0"/>
              <w:ind w:left="0" w:right="0"/>
              <w:rPr>
                <w:rFonts w:hint="default" w:ascii="宋体" w:hAnsi="宋体" w:cs="宋体"/>
                <w:color w:val="auto"/>
                <w:szCs w:val="20"/>
                <w:highlight w:val="none"/>
              </w:rPr>
            </w:pPr>
            <w:r>
              <w:rPr>
                <w:rFonts w:hint="eastAsia" w:ascii="宋体" w:hAnsi="宋体" w:cs="宋体"/>
                <w:color w:val="auto"/>
                <w:szCs w:val="20"/>
                <w:highlight w:val="none"/>
              </w:rPr>
              <w:t>1. 报价是固定价且是唯一的</w:t>
            </w:r>
            <w:r>
              <w:rPr>
                <w:rFonts w:hint="eastAsia" w:asciiTheme="majorEastAsia" w:hAnsiTheme="majorEastAsia" w:eastAsiaTheme="majorEastAsia" w:cstheme="majorEastAsia"/>
                <w:color w:val="auto"/>
                <w:szCs w:val="20"/>
                <w:highlight w:val="none"/>
              </w:rPr>
              <w:t>，</w:t>
            </w:r>
            <w:r>
              <w:rPr>
                <w:rFonts w:hint="eastAsia" w:asciiTheme="majorEastAsia" w:hAnsiTheme="majorEastAsia" w:eastAsiaTheme="majorEastAsia" w:cstheme="majorEastAsia"/>
                <w:color w:val="auto"/>
                <w:szCs w:val="20"/>
                <w:highlight w:val="none"/>
                <w:lang w:eastAsia="zh-CN"/>
              </w:rPr>
              <w:t>未超过所投项目</w:t>
            </w:r>
            <w:r>
              <w:rPr>
                <w:rFonts w:hint="eastAsia" w:asciiTheme="majorEastAsia" w:hAnsiTheme="majorEastAsia" w:eastAsiaTheme="majorEastAsia" w:cstheme="majorEastAsia"/>
                <w:color w:val="auto"/>
                <w:szCs w:val="20"/>
                <w:highlight w:val="none"/>
              </w:rPr>
              <w:t>采购预算价</w:t>
            </w:r>
            <w:r>
              <w:rPr>
                <w:rFonts w:hint="eastAsia" w:ascii="宋体" w:hAnsi="宋体" w:cs="宋体"/>
                <w:color w:val="auto"/>
                <w:szCs w:val="20"/>
                <w:highlight w:val="none"/>
              </w:rPr>
              <w:t>。</w:t>
            </w:r>
          </w:p>
        </w:tc>
      </w:tr>
      <w:tr w14:paraId="74141BC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0B87478A">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8826" w:type="dxa"/>
            <w:tcBorders>
              <w:top w:val="outset" w:color="111111" w:sz="6" w:space="0"/>
              <w:left w:val="outset" w:color="111111" w:sz="6" w:space="0"/>
              <w:bottom w:val="outset" w:color="111111" w:sz="6" w:space="0"/>
              <w:right w:val="outset" w:color="111111" w:sz="6" w:space="0"/>
            </w:tcBorders>
            <w:vAlign w:val="center"/>
          </w:tcPr>
          <w:p w14:paraId="6699E146">
            <w:pPr>
              <w:keepNext w:val="0"/>
              <w:keepLines w:val="0"/>
              <w:widowControl/>
              <w:suppressLineNumbers w:val="0"/>
              <w:spacing w:before="0" w:beforeAutospacing="0" w:after="0" w:afterAutospacing="0"/>
              <w:ind w:left="0" w:right="0"/>
              <w:rPr>
                <w:rFonts w:hint="default" w:ascii="宋体" w:hAnsi="宋体" w:cs="宋体"/>
                <w:color w:val="auto"/>
                <w:szCs w:val="20"/>
                <w:highlight w:val="none"/>
              </w:rPr>
            </w:pPr>
            <w:r>
              <w:rPr>
                <w:rFonts w:hint="eastAsia" w:ascii="宋体" w:hAnsi="宋体" w:cs="宋体"/>
                <w:color w:val="auto"/>
                <w:szCs w:val="21"/>
                <w:highlight w:val="none"/>
              </w:rPr>
              <w:t>2.供应商按照磋商文件要求交纳磋商保证金。</w:t>
            </w:r>
          </w:p>
        </w:tc>
      </w:tr>
      <w:tr w14:paraId="145C96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07699A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lang w:val="en-US" w:eastAsia="zh-CN"/>
              </w:rPr>
            </w:pPr>
            <w:r>
              <w:rPr>
                <w:rFonts w:hint="eastAsia" w:ascii="宋体" w:hAnsi="宋体" w:cs="宋体"/>
                <w:color w:val="auto"/>
                <w:szCs w:val="20"/>
                <w:highlight w:val="none"/>
                <w:lang w:val="en-US" w:eastAsia="zh-CN"/>
              </w:rPr>
              <w:t>3</w:t>
            </w:r>
          </w:p>
        </w:tc>
        <w:tc>
          <w:tcPr>
            <w:tcW w:w="8826" w:type="dxa"/>
            <w:tcBorders>
              <w:top w:val="outset" w:color="111111" w:sz="6" w:space="0"/>
              <w:left w:val="outset" w:color="111111" w:sz="6" w:space="0"/>
              <w:bottom w:val="outset" w:color="111111" w:sz="6" w:space="0"/>
              <w:right w:val="outset" w:color="111111" w:sz="6" w:space="0"/>
            </w:tcBorders>
            <w:vAlign w:val="center"/>
          </w:tcPr>
          <w:p w14:paraId="6A5FC869">
            <w:pPr>
              <w:keepNext w:val="0"/>
              <w:keepLines w:val="0"/>
              <w:widowControl/>
              <w:suppressLineNumbers w:val="0"/>
              <w:spacing w:before="0" w:beforeAutospacing="0" w:after="0" w:afterAutospacing="0"/>
              <w:ind w:left="0" w:right="0"/>
              <w:rPr>
                <w:rFonts w:hint="default" w:ascii="宋体" w:hAnsi="宋体" w:cs="宋体"/>
                <w:color w:val="auto"/>
                <w:szCs w:val="20"/>
                <w:highlight w:val="none"/>
              </w:rPr>
            </w:pPr>
            <w:r>
              <w:rPr>
                <w:rFonts w:hint="eastAsia" w:ascii="宋体" w:hAnsi="宋体" w:cs="宋体"/>
                <w:color w:val="auto"/>
                <w:szCs w:val="20"/>
                <w:highlight w:val="none"/>
              </w:rPr>
              <w:t>3. 响应文件完整且编排有序，无重大错漏，并按要求签署、盖章。</w:t>
            </w:r>
          </w:p>
        </w:tc>
      </w:tr>
      <w:tr w14:paraId="47D6ACB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7A5F7E4F">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lang w:val="en-US" w:eastAsia="zh-CN"/>
              </w:rPr>
            </w:pPr>
            <w:r>
              <w:rPr>
                <w:rFonts w:hint="eastAsia" w:ascii="宋体" w:hAnsi="宋体" w:cs="宋体"/>
                <w:color w:val="auto"/>
                <w:szCs w:val="20"/>
                <w:highlight w:val="none"/>
                <w:lang w:val="en-US" w:eastAsia="zh-CN"/>
              </w:rPr>
              <w:t>4</w:t>
            </w:r>
          </w:p>
        </w:tc>
        <w:tc>
          <w:tcPr>
            <w:tcW w:w="8826" w:type="dxa"/>
            <w:tcBorders>
              <w:top w:val="outset" w:color="111111" w:sz="6" w:space="0"/>
              <w:left w:val="outset" w:color="111111" w:sz="6" w:space="0"/>
              <w:bottom w:val="outset" w:color="111111" w:sz="6" w:space="0"/>
              <w:right w:val="outset" w:color="111111" w:sz="6" w:space="0"/>
            </w:tcBorders>
            <w:vAlign w:val="center"/>
          </w:tcPr>
          <w:p w14:paraId="24881B2C">
            <w:pPr>
              <w:keepNext w:val="0"/>
              <w:keepLines w:val="0"/>
              <w:widowControl/>
              <w:suppressLineNumbers w:val="0"/>
              <w:spacing w:before="0" w:beforeAutospacing="0" w:after="0" w:afterAutospacing="0"/>
              <w:ind w:left="0" w:right="0"/>
              <w:rPr>
                <w:rFonts w:hint="default" w:ascii="宋体" w:hAnsi="宋体" w:cs="宋体"/>
                <w:color w:val="auto"/>
                <w:szCs w:val="20"/>
                <w:highlight w:val="none"/>
              </w:rPr>
            </w:pPr>
            <w:r>
              <w:rPr>
                <w:rFonts w:hint="eastAsia" w:ascii="宋体" w:hAnsi="宋体" w:cs="宋体"/>
                <w:color w:val="auto"/>
                <w:szCs w:val="20"/>
                <w:highlight w:val="none"/>
              </w:rPr>
              <w:t>4. 法定代表人/负责人资格证明书及授权委托书，按对应格式文件签署、盖章(原件)。</w:t>
            </w:r>
          </w:p>
        </w:tc>
      </w:tr>
      <w:tr w14:paraId="66870EB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389471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lang w:val="en-US" w:eastAsia="zh-CN"/>
              </w:rPr>
            </w:pPr>
            <w:r>
              <w:rPr>
                <w:rFonts w:hint="eastAsia" w:ascii="宋体" w:hAnsi="宋体" w:cs="宋体"/>
                <w:color w:val="auto"/>
                <w:szCs w:val="20"/>
                <w:highlight w:val="none"/>
                <w:lang w:val="en-US" w:eastAsia="zh-CN"/>
              </w:rPr>
              <w:t>5</w:t>
            </w:r>
          </w:p>
        </w:tc>
        <w:tc>
          <w:tcPr>
            <w:tcW w:w="8826" w:type="dxa"/>
            <w:tcBorders>
              <w:top w:val="outset" w:color="111111" w:sz="6" w:space="0"/>
              <w:left w:val="outset" w:color="111111" w:sz="6" w:space="0"/>
              <w:bottom w:val="outset" w:color="111111" w:sz="6" w:space="0"/>
              <w:right w:val="outset" w:color="111111" w:sz="6" w:space="0"/>
            </w:tcBorders>
            <w:vAlign w:val="center"/>
          </w:tcPr>
          <w:p w14:paraId="02096544">
            <w:pPr>
              <w:keepNext w:val="0"/>
              <w:keepLines w:val="0"/>
              <w:widowControl/>
              <w:suppressLineNumbers w:val="0"/>
              <w:spacing w:before="0" w:beforeAutospacing="0" w:after="0" w:afterAutospacing="0"/>
              <w:ind w:left="0" w:right="0"/>
              <w:rPr>
                <w:rFonts w:hint="default" w:ascii="宋体" w:hAnsi="宋体" w:cs="宋体"/>
                <w:color w:val="auto"/>
                <w:szCs w:val="20"/>
                <w:highlight w:val="none"/>
              </w:rPr>
            </w:pPr>
            <w:r>
              <w:rPr>
                <w:rFonts w:hint="eastAsia" w:ascii="宋体" w:hAnsi="宋体" w:cs="宋体"/>
                <w:color w:val="auto"/>
                <w:szCs w:val="20"/>
                <w:highlight w:val="none"/>
              </w:rPr>
              <w:t>5. 报价有效期满足磋商文件要求。</w:t>
            </w:r>
          </w:p>
        </w:tc>
      </w:tr>
      <w:tr w14:paraId="04F1A52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7AADF197">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8826" w:type="dxa"/>
            <w:tcBorders>
              <w:top w:val="outset" w:color="111111" w:sz="6" w:space="0"/>
              <w:left w:val="outset" w:color="111111" w:sz="6" w:space="0"/>
              <w:bottom w:val="outset" w:color="111111" w:sz="6" w:space="0"/>
              <w:right w:val="outset" w:color="111111" w:sz="6" w:space="0"/>
            </w:tcBorders>
            <w:vAlign w:val="center"/>
          </w:tcPr>
          <w:p w14:paraId="61AA4AA0">
            <w:pPr>
              <w:keepNext w:val="0"/>
              <w:keepLines w:val="0"/>
              <w:widowControl/>
              <w:suppressLineNumbers w:val="0"/>
              <w:spacing w:before="0" w:beforeAutospacing="0" w:after="0" w:afterAutospacing="0"/>
              <w:ind w:left="0" w:right="0"/>
              <w:rPr>
                <w:rFonts w:hint="default" w:ascii="宋体" w:hAnsi="宋体" w:cs="宋体"/>
                <w:color w:val="auto"/>
                <w:szCs w:val="20"/>
                <w:highlight w:val="none"/>
              </w:rPr>
            </w:pPr>
            <w:r>
              <w:rPr>
                <w:rFonts w:hint="eastAsia" w:ascii="宋体" w:hAnsi="宋体" w:cs="宋体"/>
                <w:color w:val="auto"/>
                <w:szCs w:val="21"/>
                <w:highlight w:val="none"/>
              </w:rPr>
              <w:t>6.响应文件完全满足磋商文件中加注“★”号的条款或指标。</w:t>
            </w:r>
          </w:p>
        </w:tc>
      </w:tr>
      <w:tr w14:paraId="1004B1C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607026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8826" w:type="dxa"/>
            <w:tcBorders>
              <w:top w:val="outset" w:color="111111" w:sz="6" w:space="0"/>
              <w:left w:val="outset" w:color="111111" w:sz="6" w:space="0"/>
              <w:bottom w:val="outset" w:color="111111" w:sz="6" w:space="0"/>
              <w:right w:val="outset" w:color="111111" w:sz="6" w:space="0"/>
            </w:tcBorders>
            <w:vAlign w:val="center"/>
          </w:tcPr>
          <w:p w14:paraId="121A93A2">
            <w:pPr>
              <w:keepNext w:val="0"/>
              <w:keepLines w:val="0"/>
              <w:widowControl/>
              <w:suppressLineNumbers w:val="0"/>
              <w:spacing w:before="0" w:beforeAutospacing="0" w:after="0" w:afterAutospacing="0"/>
              <w:ind w:left="0" w:right="0"/>
              <w:rPr>
                <w:rFonts w:hint="default" w:ascii="宋体" w:hAnsi="宋体" w:cs="宋体"/>
                <w:color w:val="auto"/>
                <w:szCs w:val="20"/>
                <w:highlight w:val="none"/>
              </w:rPr>
            </w:pPr>
            <w:r>
              <w:rPr>
                <w:rFonts w:hint="eastAsia" w:ascii="宋体" w:hAnsi="宋体" w:cs="宋体"/>
                <w:color w:val="auto"/>
                <w:szCs w:val="21"/>
                <w:highlight w:val="none"/>
              </w:rPr>
              <w:t>7.评审期间，供应商按照磋商小组的要求提交经授权代表签字的澄清、说明、补正或没有改变响应文件的实质性内容。</w:t>
            </w:r>
          </w:p>
        </w:tc>
      </w:tr>
      <w:tr w14:paraId="3A991E6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7C617FE9">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lang w:val="en-US" w:eastAsia="zh-CN"/>
              </w:rPr>
            </w:pPr>
            <w:r>
              <w:rPr>
                <w:rFonts w:hint="eastAsia" w:ascii="宋体" w:hAnsi="宋体" w:cs="宋体"/>
                <w:color w:val="auto"/>
                <w:szCs w:val="20"/>
                <w:highlight w:val="none"/>
                <w:lang w:val="en-US" w:eastAsia="zh-CN"/>
              </w:rPr>
              <w:t>8</w:t>
            </w:r>
          </w:p>
        </w:tc>
        <w:tc>
          <w:tcPr>
            <w:tcW w:w="8826" w:type="dxa"/>
            <w:tcBorders>
              <w:top w:val="outset" w:color="111111" w:sz="6" w:space="0"/>
              <w:left w:val="outset" w:color="111111" w:sz="6" w:space="0"/>
              <w:bottom w:val="outset" w:color="111111" w:sz="6" w:space="0"/>
              <w:right w:val="outset" w:color="111111" w:sz="6" w:space="0"/>
            </w:tcBorders>
            <w:vAlign w:val="center"/>
          </w:tcPr>
          <w:p w14:paraId="129BC11F">
            <w:pPr>
              <w:keepNext w:val="0"/>
              <w:keepLines w:val="0"/>
              <w:widowControl/>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0"/>
                <w:highlight w:val="none"/>
              </w:rPr>
              <w:t>8.如果磋商小组认为供应商的报价明显低于其他通过符合性审查供应商的报价，有可能影响服务质量或者不能诚信履约的，将要求其在磋商现场合理的时间内提供书面说明，必要时提交相关证明材料；供应商应能证明其报价合理性。</w:t>
            </w:r>
          </w:p>
        </w:tc>
      </w:tr>
      <w:tr w14:paraId="061B7D4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022" w:type="dxa"/>
            <w:tcBorders>
              <w:top w:val="outset" w:color="111111" w:sz="6" w:space="0"/>
              <w:left w:val="outset" w:color="111111" w:sz="6" w:space="0"/>
              <w:bottom w:val="outset" w:color="111111" w:sz="6" w:space="0"/>
              <w:right w:val="outset" w:color="111111" w:sz="6" w:space="0"/>
            </w:tcBorders>
            <w:vAlign w:val="center"/>
          </w:tcPr>
          <w:p w14:paraId="504707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8826" w:type="dxa"/>
            <w:tcBorders>
              <w:top w:val="outset" w:color="111111" w:sz="6" w:space="0"/>
              <w:left w:val="outset" w:color="111111" w:sz="6" w:space="0"/>
              <w:bottom w:val="outset" w:color="111111" w:sz="6" w:space="0"/>
              <w:right w:val="outset" w:color="111111" w:sz="6" w:space="0"/>
            </w:tcBorders>
            <w:vAlign w:val="center"/>
          </w:tcPr>
          <w:p w14:paraId="188FBC59">
            <w:pPr>
              <w:keepNext w:val="0"/>
              <w:keepLines w:val="0"/>
              <w:widowControl/>
              <w:suppressLineNumbers w:val="0"/>
              <w:spacing w:before="0" w:beforeAutospacing="0" w:after="0" w:afterAutospacing="0"/>
              <w:ind w:left="0" w:right="0"/>
              <w:rPr>
                <w:rFonts w:hint="default" w:ascii="宋体" w:hAnsi="宋体" w:cs="宋体"/>
                <w:color w:val="auto"/>
                <w:szCs w:val="20"/>
                <w:highlight w:val="none"/>
              </w:rPr>
            </w:pPr>
            <w:r>
              <w:rPr>
                <w:rFonts w:hint="eastAsia" w:ascii="宋体" w:hAnsi="宋体" w:cs="宋体"/>
                <w:color w:val="auto"/>
                <w:szCs w:val="21"/>
                <w:highlight w:val="none"/>
              </w:rPr>
              <w:t>9.没有磋商文件和法律法规规定的其他无效情况。</w:t>
            </w:r>
          </w:p>
        </w:tc>
      </w:tr>
    </w:tbl>
    <w:p w14:paraId="25123780">
      <w:pPr>
        <w:pStyle w:val="5"/>
        <w:spacing w:line="360" w:lineRule="auto"/>
        <w:ind w:firstLine="0"/>
        <w:rPr>
          <w:rFonts w:ascii="宋体" w:hAnsi="宋体" w:cs="宋体"/>
          <w:color w:val="auto"/>
          <w:szCs w:val="21"/>
          <w:highlight w:val="none"/>
        </w:rPr>
      </w:pPr>
    </w:p>
    <w:p w14:paraId="1026C950">
      <w:pPr>
        <w:pStyle w:val="5"/>
        <w:spacing w:line="360" w:lineRule="auto"/>
        <w:ind w:firstLine="0"/>
        <w:rPr>
          <w:rFonts w:ascii="宋体" w:hAnsi="宋体" w:cs="宋体"/>
          <w:color w:val="auto"/>
          <w:szCs w:val="21"/>
          <w:highlight w:val="none"/>
        </w:rPr>
      </w:pPr>
    </w:p>
    <w:p w14:paraId="730B686F">
      <w:pPr>
        <w:pStyle w:val="5"/>
        <w:spacing w:line="360" w:lineRule="auto"/>
        <w:ind w:firstLine="0"/>
        <w:rPr>
          <w:rFonts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附表三：</w:t>
      </w:r>
    </w:p>
    <w:p w14:paraId="2B13BC55">
      <w:pPr>
        <w:tabs>
          <w:tab w:val="left" w:pos="0"/>
          <w:tab w:val="left" w:pos="720"/>
          <w:tab w:val="left" w:pos="1080"/>
        </w:tabs>
        <w:spacing w:line="360" w:lineRule="auto"/>
        <w:ind w:left="420"/>
        <w:jc w:val="center"/>
        <w:rPr>
          <w:rFonts w:hint="eastAsia" w:eastAsia="宋体"/>
          <w:highlight w:val="none"/>
          <w:lang w:val="en-US" w:eastAsia="zh-CN"/>
        </w:rPr>
      </w:pPr>
      <w:r>
        <w:rPr>
          <w:rFonts w:hint="eastAsia" w:ascii="宋体" w:hAnsi="宋体" w:cs="宋体"/>
          <w:b/>
          <w:color w:val="auto"/>
          <w:sz w:val="24"/>
          <w:szCs w:val="24"/>
          <w:highlight w:val="none"/>
          <w:lang w:val="en-US" w:eastAsia="zh-CN"/>
        </w:rPr>
        <w:t>技术</w:t>
      </w:r>
      <w:r>
        <w:rPr>
          <w:rFonts w:hint="eastAsia" w:ascii="宋体" w:hAnsi="宋体" w:eastAsia="宋体" w:cs="宋体"/>
          <w:b/>
          <w:color w:val="auto"/>
          <w:sz w:val="24"/>
          <w:szCs w:val="24"/>
          <w:highlight w:val="none"/>
        </w:rPr>
        <w:t>评分表</w:t>
      </w: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135"/>
        <w:gridCol w:w="675"/>
        <w:gridCol w:w="6410"/>
      </w:tblGrid>
      <w:tr w14:paraId="6A5E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888" w:type="dxa"/>
            <w:vAlign w:val="center"/>
          </w:tcPr>
          <w:p w14:paraId="3EA45A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35" w:type="dxa"/>
            <w:vAlign w:val="center"/>
          </w:tcPr>
          <w:p w14:paraId="6E5E31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75" w:type="dxa"/>
            <w:vAlign w:val="center"/>
          </w:tcPr>
          <w:p w14:paraId="2E1E8B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410" w:type="dxa"/>
            <w:vAlign w:val="center"/>
          </w:tcPr>
          <w:p w14:paraId="366C88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0CA6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88" w:type="dxa"/>
            <w:vAlign w:val="center"/>
          </w:tcPr>
          <w:p w14:paraId="7C7BCF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5" w:type="dxa"/>
            <w:vAlign w:val="center"/>
          </w:tcPr>
          <w:p w14:paraId="5A5F95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技术要求条款响应情况</w:t>
            </w:r>
            <w:r>
              <w:rPr>
                <w:rFonts w:hint="eastAsia" w:ascii="宋体" w:hAnsi="宋体" w:cs="宋体"/>
                <w:color w:val="auto"/>
                <w:sz w:val="21"/>
                <w:szCs w:val="21"/>
                <w:highlight w:val="none"/>
                <w:lang w:val="en-US" w:eastAsia="zh-CN"/>
              </w:rPr>
              <w:t>1</w:t>
            </w:r>
          </w:p>
        </w:tc>
        <w:tc>
          <w:tcPr>
            <w:tcW w:w="675" w:type="dxa"/>
            <w:vAlign w:val="center"/>
          </w:tcPr>
          <w:p w14:paraId="0AD253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6410" w:type="dxa"/>
            <w:vAlign w:val="center"/>
          </w:tcPr>
          <w:p w14:paraId="14C0C3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szCs w:val="20"/>
                <w:highlight w:val="none"/>
              </w:rPr>
            </w:pPr>
            <w:r>
              <w:rPr>
                <w:rFonts w:hint="default"/>
                <w:szCs w:val="20"/>
                <w:highlight w:val="none"/>
              </w:rPr>
              <w:t>根据</w:t>
            </w:r>
            <w:r>
              <w:rPr>
                <w:rFonts w:hint="eastAsia"/>
                <w:szCs w:val="20"/>
                <w:highlight w:val="none"/>
                <w:lang w:val="en-US" w:eastAsia="zh-CN"/>
              </w:rPr>
              <w:t>供应商</w:t>
            </w:r>
            <w:r>
              <w:rPr>
                <w:rFonts w:hint="default"/>
                <w:szCs w:val="20"/>
                <w:highlight w:val="none"/>
              </w:rPr>
              <w:t>对本项目全</w:t>
            </w:r>
            <w:bookmarkStart w:id="416" w:name="_GoBack"/>
            <w:bookmarkEnd w:id="416"/>
            <w:r>
              <w:rPr>
                <w:rFonts w:hint="default"/>
                <w:szCs w:val="20"/>
                <w:highlight w:val="none"/>
              </w:rPr>
              <w:t>部采购设备“</w:t>
            </w:r>
            <w:r>
              <w:rPr>
                <w:rFonts w:hint="eastAsia" w:ascii="宋体" w:hAnsi="宋体" w:eastAsia="宋体" w:cs="宋体"/>
                <w:b w:val="0"/>
                <w:bCs w:val="0"/>
                <w:color w:val="000000"/>
                <w:kern w:val="2"/>
                <w:sz w:val="21"/>
                <w:szCs w:val="21"/>
                <w:highlight w:val="none"/>
                <w:lang w:val="en-US" w:eastAsia="zh-CN" w:bidi="ar"/>
              </w:rPr>
              <w:t>（二）技术要求</w:t>
            </w:r>
            <w:r>
              <w:rPr>
                <w:rFonts w:hint="default"/>
                <w:szCs w:val="20"/>
                <w:highlight w:val="none"/>
              </w:rPr>
              <w:t>（不含参考图、示意图）”中“▲”的</w:t>
            </w:r>
            <w:r>
              <w:rPr>
                <w:rFonts w:hint="eastAsia"/>
                <w:szCs w:val="20"/>
                <w:highlight w:val="none"/>
                <w:lang w:val="en-US" w:eastAsia="zh-CN"/>
              </w:rPr>
              <w:t>重要</w:t>
            </w:r>
            <w:r>
              <w:rPr>
                <w:rFonts w:hint="default"/>
                <w:szCs w:val="20"/>
                <w:highlight w:val="none"/>
              </w:rPr>
              <w:t>技术参数的响应情况进行评审（不包含视频演示内容项，共</w:t>
            </w:r>
            <w:r>
              <w:rPr>
                <w:rFonts w:hint="eastAsia"/>
                <w:szCs w:val="20"/>
                <w:highlight w:val="none"/>
                <w:lang w:val="en-US" w:eastAsia="zh-CN"/>
              </w:rPr>
              <w:t>15</w:t>
            </w:r>
            <w:r>
              <w:rPr>
                <w:rFonts w:hint="default"/>
                <w:szCs w:val="20"/>
                <w:highlight w:val="none"/>
              </w:rPr>
              <w:t xml:space="preserve">项）： </w:t>
            </w:r>
            <w:r>
              <w:rPr>
                <w:rFonts w:hint="eastAsia"/>
                <w:szCs w:val="20"/>
                <w:highlight w:val="none"/>
                <w:lang w:eastAsia="zh-CN"/>
              </w:rPr>
              <w:t>供应商</w:t>
            </w:r>
            <w:r>
              <w:rPr>
                <w:rFonts w:hint="default"/>
                <w:szCs w:val="20"/>
                <w:highlight w:val="none"/>
              </w:rPr>
              <w:t>所投产品技术响应全部满足本项目采购需求中“▲”的</w:t>
            </w:r>
            <w:r>
              <w:rPr>
                <w:rFonts w:hint="eastAsia"/>
                <w:szCs w:val="20"/>
                <w:highlight w:val="none"/>
                <w:lang w:val="en-US" w:eastAsia="zh-CN"/>
              </w:rPr>
              <w:t>重要</w:t>
            </w:r>
            <w:r>
              <w:rPr>
                <w:rFonts w:hint="default"/>
                <w:szCs w:val="20"/>
                <w:highlight w:val="none"/>
              </w:rPr>
              <w:t>技术参数，得</w:t>
            </w:r>
            <w:r>
              <w:rPr>
                <w:rFonts w:hint="eastAsia"/>
                <w:szCs w:val="20"/>
                <w:highlight w:val="none"/>
                <w:lang w:val="en-US" w:eastAsia="zh-CN"/>
              </w:rPr>
              <w:t>20</w:t>
            </w:r>
            <w:r>
              <w:rPr>
                <w:rFonts w:hint="default"/>
                <w:szCs w:val="20"/>
                <w:highlight w:val="none"/>
              </w:rPr>
              <w:t>分；负偏离总数≤5条的，每出现一处负偏离，扣</w:t>
            </w:r>
            <w:r>
              <w:rPr>
                <w:rFonts w:hint="eastAsia"/>
                <w:szCs w:val="20"/>
                <w:highlight w:val="none"/>
                <w:lang w:val="en-US" w:eastAsia="zh-CN"/>
              </w:rPr>
              <w:t>3.6</w:t>
            </w:r>
            <w:r>
              <w:rPr>
                <w:rFonts w:hint="default"/>
                <w:szCs w:val="20"/>
                <w:highlight w:val="none"/>
              </w:rPr>
              <w:t>分；负偏离总数＞5条的，扣分=</w:t>
            </w:r>
            <w:r>
              <w:rPr>
                <w:rFonts w:hint="eastAsia"/>
                <w:szCs w:val="20"/>
                <w:highlight w:val="none"/>
                <w:lang w:val="en-US" w:eastAsia="zh-CN"/>
              </w:rPr>
              <w:t>18</w:t>
            </w:r>
            <w:r>
              <w:rPr>
                <w:rFonts w:hint="default"/>
                <w:szCs w:val="20"/>
                <w:highlight w:val="none"/>
              </w:rPr>
              <w:t>分+（负偏离总数-5条）/（“▲”的</w:t>
            </w:r>
            <w:r>
              <w:rPr>
                <w:rFonts w:hint="eastAsia"/>
                <w:szCs w:val="20"/>
                <w:highlight w:val="none"/>
                <w:lang w:val="en-US" w:eastAsia="zh-CN"/>
              </w:rPr>
              <w:t>重要</w:t>
            </w:r>
            <w:r>
              <w:rPr>
                <w:rFonts w:hint="default"/>
                <w:szCs w:val="20"/>
                <w:highlight w:val="none"/>
              </w:rPr>
              <w:t>技术参数总数-5条）×</w:t>
            </w:r>
            <w:r>
              <w:rPr>
                <w:rFonts w:hint="eastAsia"/>
                <w:szCs w:val="20"/>
                <w:highlight w:val="none"/>
                <w:lang w:val="en-US" w:eastAsia="zh-CN"/>
              </w:rPr>
              <w:t>2</w:t>
            </w:r>
            <w:r>
              <w:rPr>
                <w:rFonts w:hint="default"/>
                <w:szCs w:val="20"/>
                <w:highlight w:val="none"/>
              </w:rPr>
              <w:t xml:space="preserve">分，结果四舍五入保留两位小数。 </w:t>
            </w:r>
          </w:p>
          <w:p w14:paraId="28C992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default"/>
                <w:szCs w:val="20"/>
                <w:highlight w:val="none"/>
              </w:rPr>
              <w:t>【注：①如用户需求书有要求提供具体证明材料的，需按用户需求书要求提供；如用户需求书无明确要求提供的证明材料，则以</w:t>
            </w:r>
            <w:r>
              <w:rPr>
                <w:rFonts w:hint="eastAsia"/>
                <w:szCs w:val="20"/>
                <w:highlight w:val="none"/>
                <w:lang w:eastAsia="zh-CN"/>
              </w:rPr>
              <w:t>供应商</w:t>
            </w:r>
            <w:r>
              <w:rPr>
                <w:rFonts w:hint="default"/>
                <w:szCs w:val="20"/>
                <w:highlight w:val="none"/>
              </w:rPr>
              <w:t>提供的《</w:t>
            </w:r>
            <w:r>
              <w:rPr>
                <w:rFonts w:hint="eastAsia" w:hAnsi="宋体" w:cs="宋体"/>
                <w:b/>
                <w:bCs/>
                <w:sz w:val="21"/>
                <w:szCs w:val="21"/>
                <w:highlight w:val="none"/>
              </w:rPr>
              <w:t>用户需求书重要条款偏离表</w:t>
            </w:r>
            <w:r>
              <w:rPr>
                <w:rFonts w:hint="default"/>
                <w:szCs w:val="20"/>
                <w:highlight w:val="none"/>
              </w:rPr>
              <w:t>》响应情况为准，不按要求提供或提供不符的视为负偏离。②凡是标有序号的条款均以一项单独的条款计算，无论是否隶属于上一级编号。】</w:t>
            </w:r>
          </w:p>
        </w:tc>
      </w:tr>
      <w:tr w14:paraId="728A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88" w:type="dxa"/>
            <w:vAlign w:val="center"/>
          </w:tcPr>
          <w:p w14:paraId="539298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35" w:type="dxa"/>
            <w:vAlign w:val="center"/>
          </w:tcPr>
          <w:p w14:paraId="31A51D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技术要求条款响应情况</w:t>
            </w:r>
            <w:r>
              <w:rPr>
                <w:rFonts w:hint="eastAsia" w:ascii="宋体" w:hAnsi="宋体" w:cs="宋体"/>
                <w:color w:val="auto"/>
                <w:sz w:val="21"/>
                <w:szCs w:val="21"/>
                <w:highlight w:val="none"/>
                <w:lang w:val="en-US" w:eastAsia="zh-CN"/>
              </w:rPr>
              <w:t>2</w:t>
            </w:r>
          </w:p>
        </w:tc>
        <w:tc>
          <w:tcPr>
            <w:tcW w:w="675" w:type="dxa"/>
            <w:vAlign w:val="center"/>
          </w:tcPr>
          <w:p w14:paraId="594127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410" w:type="dxa"/>
            <w:vAlign w:val="center"/>
          </w:tcPr>
          <w:p w14:paraId="1BE011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szCs w:val="20"/>
                <w:highlight w:val="none"/>
              </w:rPr>
            </w:pPr>
            <w:r>
              <w:rPr>
                <w:rFonts w:hint="default"/>
                <w:szCs w:val="20"/>
                <w:highlight w:val="none"/>
              </w:rPr>
              <w:t>根据</w:t>
            </w:r>
            <w:r>
              <w:rPr>
                <w:rFonts w:hint="eastAsia"/>
                <w:szCs w:val="20"/>
                <w:highlight w:val="none"/>
                <w:lang w:eastAsia="zh-CN"/>
              </w:rPr>
              <w:t>供应商</w:t>
            </w:r>
            <w:r>
              <w:rPr>
                <w:rFonts w:hint="default"/>
                <w:szCs w:val="20"/>
                <w:highlight w:val="none"/>
              </w:rPr>
              <w:t>对本项目全部采购设备“</w:t>
            </w:r>
            <w:r>
              <w:rPr>
                <w:rFonts w:hint="eastAsia" w:ascii="宋体" w:hAnsi="宋体" w:eastAsia="宋体" w:cs="宋体"/>
                <w:b w:val="0"/>
                <w:bCs w:val="0"/>
                <w:color w:val="000000"/>
                <w:kern w:val="2"/>
                <w:sz w:val="21"/>
                <w:szCs w:val="21"/>
                <w:highlight w:val="none"/>
                <w:lang w:val="en-US" w:eastAsia="zh-CN" w:bidi="ar"/>
              </w:rPr>
              <w:t>（二）技术要求</w:t>
            </w:r>
            <w:r>
              <w:rPr>
                <w:rFonts w:hint="default"/>
                <w:szCs w:val="20"/>
                <w:highlight w:val="none"/>
              </w:rPr>
              <w:t>（不含参考图、示意图）”中未标记“★”或“▲”的一般技术参数的响应情况进行评审（不包含视频演示内容项，共</w:t>
            </w:r>
            <w:r>
              <w:rPr>
                <w:rFonts w:hint="eastAsia"/>
                <w:szCs w:val="20"/>
                <w:highlight w:val="none"/>
                <w:lang w:val="en-US" w:eastAsia="zh-CN"/>
              </w:rPr>
              <w:t>95</w:t>
            </w:r>
            <w:r>
              <w:rPr>
                <w:rFonts w:hint="default"/>
                <w:szCs w:val="20"/>
                <w:highlight w:val="none"/>
              </w:rPr>
              <w:t xml:space="preserve">项）： </w:t>
            </w:r>
            <w:r>
              <w:rPr>
                <w:rFonts w:hint="eastAsia"/>
                <w:szCs w:val="20"/>
                <w:highlight w:val="none"/>
                <w:lang w:eastAsia="zh-CN"/>
              </w:rPr>
              <w:t>供应商</w:t>
            </w:r>
            <w:r>
              <w:rPr>
                <w:rFonts w:hint="default"/>
                <w:szCs w:val="20"/>
                <w:highlight w:val="none"/>
              </w:rPr>
              <w:t>所投产品技术响应全部满足本项目采购需求中不带“▲”号、不带“★”号的一般技术要求，得</w:t>
            </w:r>
            <w:r>
              <w:rPr>
                <w:rFonts w:hint="eastAsia"/>
                <w:szCs w:val="20"/>
                <w:highlight w:val="none"/>
                <w:lang w:val="en-US" w:eastAsia="zh-CN"/>
              </w:rPr>
              <w:t>10</w:t>
            </w:r>
            <w:r>
              <w:rPr>
                <w:rFonts w:hint="default"/>
                <w:szCs w:val="20"/>
                <w:highlight w:val="none"/>
              </w:rPr>
              <w:t>分；负偏离总数≤5条的，每出现一处负偏离，扣1分；负偏离总数＞5条的，扣分=5分+（负偏离总数-5条）/（一般技术要求参数总数-5条）×</w:t>
            </w:r>
            <w:r>
              <w:rPr>
                <w:rFonts w:hint="eastAsia"/>
                <w:szCs w:val="20"/>
                <w:highlight w:val="none"/>
                <w:lang w:val="en-US" w:eastAsia="zh-CN"/>
              </w:rPr>
              <w:t>5</w:t>
            </w:r>
            <w:r>
              <w:rPr>
                <w:rFonts w:hint="default"/>
                <w:szCs w:val="20"/>
                <w:highlight w:val="none"/>
              </w:rPr>
              <w:t xml:space="preserve">分，结果四舍五入保留两位小数。 </w:t>
            </w:r>
          </w:p>
          <w:p w14:paraId="6E1610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default"/>
                <w:szCs w:val="20"/>
                <w:highlight w:val="none"/>
              </w:rPr>
              <w:t>【注：①如用户需求书有要求提供具体证明材料的，需按用户需求书要求提供；如用户需求书无明确要求提供的证明材料，则以</w:t>
            </w:r>
            <w:r>
              <w:rPr>
                <w:rFonts w:hint="eastAsia"/>
                <w:szCs w:val="20"/>
                <w:highlight w:val="none"/>
                <w:lang w:eastAsia="zh-CN"/>
              </w:rPr>
              <w:t>供应商</w:t>
            </w:r>
            <w:r>
              <w:rPr>
                <w:rFonts w:hint="default"/>
                <w:szCs w:val="20"/>
                <w:highlight w:val="none"/>
              </w:rPr>
              <w:t>提供的《</w:t>
            </w:r>
            <w:r>
              <w:rPr>
                <w:rFonts w:hint="eastAsia" w:hAnsi="宋体" w:cs="宋体"/>
                <w:b/>
                <w:bCs/>
                <w:sz w:val="21"/>
                <w:szCs w:val="21"/>
                <w:highlight w:val="none"/>
              </w:rPr>
              <w:t>用户需求书</w:t>
            </w:r>
            <w:r>
              <w:rPr>
                <w:rFonts w:hint="eastAsia" w:hAnsi="宋体" w:cs="宋体"/>
                <w:b/>
                <w:bCs/>
                <w:sz w:val="21"/>
                <w:szCs w:val="21"/>
                <w:highlight w:val="none"/>
                <w:lang w:val="en-US" w:eastAsia="zh-CN"/>
              </w:rPr>
              <w:t>一般</w:t>
            </w:r>
            <w:r>
              <w:rPr>
                <w:rFonts w:hint="eastAsia" w:hAnsi="宋体" w:cs="宋体"/>
                <w:b/>
                <w:bCs/>
                <w:sz w:val="21"/>
                <w:szCs w:val="21"/>
                <w:highlight w:val="none"/>
              </w:rPr>
              <w:t>条款偏离表</w:t>
            </w:r>
            <w:r>
              <w:rPr>
                <w:rFonts w:hint="default"/>
                <w:szCs w:val="20"/>
                <w:highlight w:val="none"/>
              </w:rPr>
              <w:t>》响应情况为准，不按要求提供或提供不符的视为负偏离。②凡是标有序号的条款均以一项单独的条款计算，无论是否隶属于上一级编号。】</w:t>
            </w:r>
          </w:p>
        </w:tc>
      </w:tr>
      <w:tr w14:paraId="7DBE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88" w:type="dxa"/>
            <w:vAlign w:val="center"/>
          </w:tcPr>
          <w:p w14:paraId="39D48E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135" w:type="dxa"/>
            <w:vAlign w:val="center"/>
          </w:tcPr>
          <w:p w14:paraId="3B52E8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设备安装调试方案 </w:t>
            </w:r>
          </w:p>
        </w:tc>
        <w:tc>
          <w:tcPr>
            <w:tcW w:w="675" w:type="dxa"/>
            <w:vAlign w:val="center"/>
          </w:tcPr>
          <w:p w14:paraId="3764C4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410" w:type="dxa"/>
            <w:vAlign w:val="center"/>
          </w:tcPr>
          <w:p w14:paraId="4A19C5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 xml:space="preserve">提供的设备安装调试方案情况评审： </w:t>
            </w:r>
          </w:p>
          <w:p w14:paraId="548F62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1.方案详细、全面、合理，过程节点重点和难点分析到位，有有效解决措施，完全满足且优于项目需求的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 xml:space="preserve">分； </w:t>
            </w:r>
          </w:p>
          <w:p w14:paraId="7B6C4A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2.方案较详细、完整、基本合理，过程节点重点和难点有一定分析，有一定的解决措施，完全满足项目需求的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 xml:space="preserve">分； </w:t>
            </w:r>
          </w:p>
          <w:p w14:paraId="50C44C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3.方案一般、不详细、部分存在不合理，没有过程节点重点和难点分析或差，解决措施差或无，得1分； </w:t>
            </w:r>
          </w:p>
          <w:p w14:paraId="3161C2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4.未提供相关内容的得0分。</w:t>
            </w:r>
          </w:p>
        </w:tc>
      </w:tr>
      <w:tr w14:paraId="2E5D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vAlign w:val="center"/>
          </w:tcPr>
          <w:p w14:paraId="48F2A3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135" w:type="dxa"/>
            <w:vAlign w:val="center"/>
          </w:tcPr>
          <w:p w14:paraId="4BBA5C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售后服务方案</w:t>
            </w:r>
          </w:p>
        </w:tc>
        <w:tc>
          <w:tcPr>
            <w:tcW w:w="675" w:type="dxa"/>
            <w:vAlign w:val="center"/>
          </w:tcPr>
          <w:p w14:paraId="75D536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10" w:type="dxa"/>
            <w:vAlign w:val="center"/>
          </w:tcPr>
          <w:p w14:paraId="7F9432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提供的售后服务方案(包括单不限于质保期限、零配件供应、服务响应时间、维护保养服务承诺)情况评审：</w:t>
            </w:r>
          </w:p>
          <w:p w14:paraId="7F9EFB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1.方案合理，内容详细，符合售后服务要求，完全满足且优于项目需求的，得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分； </w:t>
            </w:r>
          </w:p>
          <w:p w14:paraId="66094E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2.方案较合理，内容较详细，符合售后服务要求，完全满足项目需求的，得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7CE378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3.方案不合理，内容简单，不完全符合售后服务要求，不完全满足项目需求的，得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分； </w:t>
            </w:r>
          </w:p>
          <w:p w14:paraId="408CA7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4.未提供相关内容的得0 分。</w:t>
            </w:r>
          </w:p>
        </w:tc>
      </w:tr>
      <w:tr w14:paraId="4810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vAlign w:val="center"/>
          </w:tcPr>
          <w:p w14:paraId="0D0204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35" w:type="dxa"/>
            <w:vAlign w:val="center"/>
          </w:tcPr>
          <w:p w14:paraId="1F078F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default"/>
                <w:color w:val="auto"/>
                <w:szCs w:val="20"/>
                <w:highlight w:val="none"/>
              </w:rPr>
              <w:t xml:space="preserve">货物包装、运输方案 </w:t>
            </w:r>
          </w:p>
        </w:tc>
        <w:tc>
          <w:tcPr>
            <w:tcW w:w="675" w:type="dxa"/>
            <w:vAlign w:val="center"/>
          </w:tcPr>
          <w:p w14:paraId="6A8F17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410" w:type="dxa"/>
            <w:vAlign w:val="center"/>
          </w:tcPr>
          <w:p w14:paraId="615A1CCA">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default"/>
                <w:color w:val="auto"/>
                <w:szCs w:val="20"/>
                <w:highlight w:val="none"/>
              </w:rPr>
              <w:t>根据</w:t>
            </w:r>
            <w:r>
              <w:rPr>
                <w:rFonts w:hint="eastAsia"/>
                <w:color w:val="auto"/>
                <w:szCs w:val="20"/>
                <w:highlight w:val="none"/>
                <w:lang w:val="en-US" w:eastAsia="zh-CN"/>
              </w:rPr>
              <w:t>供应商</w:t>
            </w:r>
            <w:r>
              <w:rPr>
                <w:rFonts w:hint="default"/>
                <w:color w:val="auto"/>
                <w:szCs w:val="20"/>
                <w:highlight w:val="none"/>
              </w:rPr>
              <w:t xml:space="preserve">提供的货物包装、运输方案情况评审： </w:t>
            </w:r>
          </w:p>
          <w:p w14:paraId="2EC19FC3">
            <w:pPr>
              <w:keepNext w:val="0"/>
              <w:keepLines w:val="0"/>
              <w:widowControl/>
              <w:numPr>
                <w:ilvl w:val="-1"/>
                <w:numId w:val="0"/>
              </w:numPr>
              <w:suppressLineNumbers w:val="0"/>
              <w:spacing w:before="0" w:beforeAutospacing="0" w:after="0" w:afterAutospacing="0"/>
              <w:ind w:left="0" w:right="0"/>
              <w:jc w:val="left"/>
              <w:rPr>
                <w:rFonts w:hint="default"/>
                <w:color w:val="auto"/>
                <w:szCs w:val="20"/>
                <w:highlight w:val="none"/>
              </w:rPr>
            </w:pPr>
            <w:r>
              <w:rPr>
                <w:rFonts w:hint="eastAsia"/>
                <w:color w:val="auto"/>
                <w:szCs w:val="20"/>
                <w:highlight w:val="none"/>
                <w:lang w:val="en-US" w:eastAsia="zh-CN"/>
              </w:rPr>
              <w:t>1、</w:t>
            </w:r>
            <w:r>
              <w:rPr>
                <w:rFonts w:hint="default"/>
                <w:color w:val="auto"/>
                <w:szCs w:val="20"/>
                <w:highlight w:val="none"/>
              </w:rPr>
              <w:t>对项目包装、运输等管理措施详细、可行、切合实际，服务方案具体，得</w:t>
            </w:r>
            <w:r>
              <w:rPr>
                <w:rFonts w:hint="eastAsia"/>
                <w:color w:val="auto"/>
                <w:szCs w:val="20"/>
                <w:highlight w:val="none"/>
                <w:lang w:val="en-US" w:eastAsia="zh-CN"/>
              </w:rPr>
              <w:t>3</w:t>
            </w:r>
            <w:r>
              <w:rPr>
                <w:rFonts w:hint="default"/>
                <w:color w:val="auto"/>
                <w:szCs w:val="20"/>
                <w:highlight w:val="none"/>
              </w:rPr>
              <w:t xml:space="preserve">分； </w:t>
            </w:r>
          </w:p>
          <w:p w14:paraId="33B99043">
            <w:pPr>
              <w:keepNext w:val="0"/>
              <w:keepLines w:val="0"/>
              <w:widowControl/>
              <w:numPr>
                <w:ilvl w:val="-1"/>
                <w:numId w:val="0"/>
              </w:numPr>
              <w:suppressLineNumbers w:val="0"/>
              <w:spacing w:before="0" w:beforeAutospacing="0" w:after="0" w:afterAutospacing="0"/>
              <w:ind w:left="0" w:right="0"/>
              <w:jc w:val="left"/>
              <w:rPr>
                <w:rFonts w:hint="eastAsia" w:eastAsiaTheme="minorEastAsia"/>
                <w:color w:val="auto"/>
                <w:szCs w:val="20"/>
                <w:highlight w:val="none"/>
                <w:lang w:eastAsia="zh-CN"/>
              </w:rPr>
            </w:pPr>
            <w:r>
              <w:rPr>
                <w:rFonts w:hint="default"/>
                <w:color w:val="auto"/>
                <w:szCs w:val="20"/>
                <w:highlight w:val="none"/>
              </w:rPr>
              <w:t>2、对项目包装、运输等管理措施较详细、可行、切合实际，服务方案较具体，得</w:t>
            </w:r>
            <w:r>
              <w:rPr>
                <w:rFonts w:hint="eastAsia"/>
                <w:color w:val="auto"/>
                <w:szCs w:val="20"/>
                <w:highlight w:val="none"/>
                <w:lang w:val="en-US" w:eastAsia="zh-CN"/>
              </w:rPr>
              <w:t>2</w:t>
            </w:r>
            <w:r>
              <w:rPr>
                <w:rFonts w:hint="default"/>
                <w:color w:val="auto"/>
                <w:szCs w:val="20"/>
                <w:highlight w:val="none"/>
              </w:rPr>
              <w:t xml:space="preserve">分； </w:t>
            </w:r>
          </w:p>
          <w:p w14:paraId="129EA607">
            <w:pPr>
              <w:keepNext w:val="0"/>
              <w:keepLines w:val="0"/>
              <w:widowControl/>
              <w:numPr>
                <w:ilvl w:val="-1"/>
                <w:numId w:val="0"/>
              </w:numPr>
              <w:suppressLineNumbers w:val="0"/>
              <w:spacing w:before="0" w:beforeAutospacing="0" w:after="0" w:afterAutospacing="0"/>
              <w:ind w:left="0" w:right="0"/>
              <w:jc w:val="left"/>
              <w:rPr>
                <w:rFonts w:hint="eastAsia" w:eastAsiaTheme="minorEastAsia"/>
                <w:color w:val="auto"/>
                <w:szCs w:val="20"/>
                <w:highlight w:val="none"/>
                <w:lang w:eastAsia="zh-CN"/>
              </w:rPr>
            </w:pPr>
            <w:r>
              <w:rPr>
                <w:rFonts w:hint="default"/>
                <w:color w:val="auto"/>
                <w:szCs w:val="20"/>
                <w:highlight w:val="none"/>
              </w:rPr>
              <w:t>3、对项目包装、运输等管理措施及服务方案较差，得</w:t>
            </w:r>
            <w:r>
              <w:rPr>
                <w:rFonts w:hint="eastAsia"/>
                <w:color w:val="auto"/>
                <w:szCs w:val="20"/>
                <w:highlight w:val="none"/>
                <w:lang w:val="en-US" w:eastAsia="zh-CN"/>
              </w:rPr>
              <w:t>1</w:t>
            </w:r>
            <w:r>
              <w:rPr>
                <w:rFonts w:hint="default"/>
                <w:color w:val="auto"/>
                <w:szCs w:val="20"/>
                <w:highlight w:val="none"/>
              </w:rPr>
              <w:t xml:space="preserve">分； </w:t>
            </w:r>
          </w:p>
          <w:p w14:paraId="3BD053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r>
              <w:rPr>
                <w:rFonts w:hint="default"/>
                <w:color w:val="auto"/>
                <w:szCs w:val="20"/>
                <w:highlight w:val="none"/>
              </w:rPr>
              <w:t>4、未提供相关内容的得</w:t>
            </w:r>
            <w:r>
              <w:rPr>
                <w:rFonts w:hint="eastAsia"/>
                <w:color w:val="auto"/>
                <w:szCs w:val="20"/>
                <w:highlight w:val="none"/>
                <w:lang w:val="en-US" w:eastAsia="zh-CN"/>
              </w:rPr>
              <w:t>0</w:t>
            </w:r>
            <w:r>
              <w:rPr>
                <w:rFonts w:hint="default"/>
                <w:color w:val="auto"/>
                <w:szCs w:val="20"/>
                <w:highlight w:val="none"/>
              </w:rPr>
              <w:t>分。</w:t>
            </w:r>
          </w:p>
        </w:tc>
      </w:tr>
      <w:tr w14:paraId="49EB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vAlign w:val="center"/>
          </w:tcPr>
          <w:p w14:paraId="1ABF2B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135" w:type="dxa"/>
            <w:vAlign w:val="center"/>
          </w:tcPr>
          <w:p w14:paraId="6A32CC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color w:val="auto"/>
                <w:szCs w:val="20"/>
                <w:highlight w:val="none"/>
              </w:rPr>
            </w:pPr>
            <w:r>
              <w:rPr>
                <w:rFonts w:hint="default"/>
                <w:color w:val="auto"/>
                <w:szCs w:val="20"/>
                <w:highlight w:val="none"/>
              </w:rPr>
              <w:t>功能视频演示</w:t>
            </w:r>
          </w:p>
        </w:tc>
        <w:tc>
          <w:tcPr>
            <w:tcW w:w="675" w:type="dxa"/>
            <w:vAlign w:val="center"/>
          </w:tcPr>
          <w:p w14:paraId="3BF092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6410" w:type="dxa"/>
            <w:shd w:val="clear" w:color="auto" w:fill="auto"/>
            <w:vAlign w:val="top"/>
          </w:tcPr>
          <w:p w14:paraId="7CD5BD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zCs w:val="20"/>
                <w:highlight w:val="none"/>
                <w:lang w:eastAsia="zh-CN"/>
              </w:rPr>
            </w:pPr>
            <w:r>
              <w:rPr>
                <w:rFonts w:hint="default" w:ascii="Times New Roman" w:hAnsi="Times New Roman" w:eastAsia="宋体" w:cs="Times New Roman"/>
                <w:szCs w:val="20"/>
                <w:highlight w:val="none"/>
              </w:rPr>
              <w:t>根据</w:t>
            </w:r>
            <w:r>
              <w:rPr>
                <w:rFonts w:hint="eastAsia" w:cs="Times New Roman"/>
                <w:szCs w:val="20"/>
                <w:highlight w:val="none"/>
                <w:lang w:val="en-US" w:eastAsia="zh-CN"/>
              </w:rPr>
              <w:t>供应商</w:t>
            </w:r>
            <w:r>
              <w:rPr>
                <w:rFonts w:hint="default" w:ascii="Times New Roman" w:hAnsi="Times New Roman" w:eastAsia="宋体" w:cs="Times New Roman"/>
                <w:szCs w:val="20"/>
                <w:highlight w:val="none"/>
              </w:rPr>
              <w:t>所提供的</w:t>
            </w:r>
            <w:r>
              <w:rPr>
                <w:rFonts w:hint="eastAsia" w:ascii="Times New Roman" w:hAnsi="Times New Roman" w:eastAsia="宋体" w:cs="Times New Roman"/>
                <w:szCs w:val="20"/>
                <w:highlight w:val="none"/>
                <w:lang w:val="en-US" w:eastAsia="zh-CN"/>
              </w:rPr>
              <w:t>离子色谱仪</w:t>
            </w:r>
            <w:r>
              <w:rPr>
                <w:rFonts w:hint="default" w:ascii="Times New Roman" w:hAnsi="Times New Roman" w:eastAsia="宋体" w:cs="Times New Roman"/>
                <w:szCs w:val="20"/>
                <w:highlight w:val="none"/>
              </w:rPr>
              <w:t>功能视频</w:t>
            </w:r>
            <w:r>
              <w:rPr>
                <w:rFonts w:hint="eastAsia" w:ascii="Times New Roman" w:hAnsi="Times New Roman" w:eastAsia="宋体" w:cs="Times New Roman"/>
                <w:szCs w:val="20"/>
                <w:highlight w:val="none"/>
                <w:lang w:val="en-US" w:eastAsia="zh-CN"/>
              </w:rPr>
              <w:t>演示</w:t>
            </w:r>
            <w:r>
              <w:rPr>
                <w:rFonts w:hint="default" w:ascii="Times New Roman" w:hAnsi="Times New Roman" w:eastAsia="宋体" w:cs="Times New Roman"/>
                <w:szCs w:val="20"/>
                <w:highlight w:val="none"/>
              </w:rPr>
              <w:t>进行评审</w:t>
            </w:r>
            <w:r>
              <w:rPr>
                <w:rFonts w:hint="eastAsia" w:ascii="Times New Roman" w:hAnsi="Times New Roman" w:eastAsia="宋体" w:cs="Times New Roman"/>
                <w:szCs w:val="20"/>
                <w:highlight w:val="none"/>
                <w:lang w:eastAsia="zh-CN"/>
              </w:rPr>
              <w:t>：</w:t>
            </w:r>
          </w:p>
          <w:p w14:paraId="64C7AB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（1）</w:t>
            </w:r>
            <w:r>
              <w:rPr>
                <w:rFonts w:hint="eastAsia" w:ascii="Times New Roman" w:hAnsi="Times New Roman" w:eastAsia="宋体" w:cs="Times New Roman"/>
                <w:szCs w:val="20"/>
                <w:highlight w:val="none"/>
              </w:rPr>
              <w:t>离子色谱主机内部可预留额外的阀位，能同时安装</w:t>
            </w:r>
            <w:r>
              <w:rPr>
                <w:rFonts w:hint="eastAsia" w:ascii="Times New Roman" w:hAnsi="Times New Roman" w:eastAsia="宋体" w:cs="Times New Roman"/>
                <w:szCs w:val="20"/>
                <w:highlight w:val="none"/>
                <w:lang w:val="en-US" w:eastAsia="zh-CN"/>
              </w:rPr>
              <w:t>≥4个</w:t>
            </w:r>
            <w:r>
              <w:rPr>
                <w:rFonts w:hint="eastAsia" w:ascii="Times New Roman" w:hAnsi="Times New Roman" w:eastAsia="宋体" w:cs="Times New Roman"/>
                <w:szCs w:val="20"/>
                <w:highlight w:val="none"/>
              </w:rPr>
              <w:t>内置的二位多通阀，用于在线样品前处理。</w:t>
            </w:r>
          </w:p>
          <w:p w14:paraId="744475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w:t>
            </w:r>
            <w:r>
              <w:rPr>
                <w:rFonts w:hint="eastAsia" w:ascii="Times New Roman" w:hAnsi="Times New Roman" w:eastAsia="宋体" w:cs="Times New Roman"/>
                <w:szCs w:val="20"/>
                <w:highlight w:val="none"/>
              </w:rPr>
              <w:t>具有可视化功能：无需打开任何部件，即可观察抑制器等的工作状态及管路连接情况。</w:t>
            </w:r>
          </w:p>
          <w:p w14:paraId="63D1E5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（3）</w:t>
            </w:r>
            <w:r>
              <w:rPr>
                <w:rFonts w:hint="eastAsia" w:ascii="Times New Roman" w:hAnsi="Times New Roman" w:eastAsia="宋体" w:cs="Times New Roman"/>
                <w:szCs w:val="20"/>
                <w:highlight w:val="none"/>
              </w:rPr>
              <w:t>信号采集频率：不低于90Hz，色谱图上显示的采集点数每秒不小于90个。</w:t>
            </w:r>
          </w:p>
          <w:p w14:paraId="5BACB3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（4）</w:t>
            </w:r>
            <w:r>
              <w:rPr>
                <w:rFonts w:hint="eastAsia" w:ascii="Times New Roman" w:hAnsi="Times New Roman" w:eastAsia="宋体" w:cs="Times New Roman"/>
                <w:szCs w:val="20"/>
                <w:highlight w:val="none"/>
              </w:rPr>
              <w:t>洗液发生罐耐压</w:t>
            </w:r>
            <w:r>
              <w:rPr>
                <w:rFonts w:hint="eastAsia" w:ascii="宋体" w:hAnsi="宋体" w:eastAsia="宋体" w:cs="宋体"/>
                <w:color w:val="000000"/>
                <w:kern w:val="0"/>
                <w:sz w:val="21"/>
                <w:szCs w:val="21"/>
                <w:highlight w:val="none"/>
              </w:rPr>
              <w:t>≥</w:t>
            </w:r>
            <w:r>
              <w:rPr>
                <w:rFonts w:hint="eastAsia" w:ascii="Times New Roman" w:hAnsi="Times New Roman" w:eastAsia="宋体" w:cs="Times New Roman"/>
                <w:szCs w:val="20"/>
                <w:highlight w:val="none"/>
              </w:rPr>
              <w:t>5000 psi，兼容高压色谱柱。</w:t>
            </w:r>
          </w:p>
          <w:p w14:paraId="366A71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（5）</w:t>
            </w:r>
            <w:r>
              <w:rPr>
                <w:rFonts w:hint="eastAsia" w:ascii="Times New Roman" w:hAnsi="Times New Roman" w:eastAsia="宋体" w:cs="Times New Roman"/>
                <w:szCs w:val="20"/>
                <w:highlight w:val="none"/>
              </w:rPr>
              <w:t>梯度产生曲率：1-9，任意数值可选。</w:t>
            </w:r>
          </w:p>
          <w:p w14:paraId="699984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（6）</w:t>
            </w:r>
            <w:r>
              <w:rPr>
                <w:rFonts w:hint="eastAsia" w:ascii="Times New Roman" w:hAnsi="Times New Roman" w:eastAsia="宋体" w:cs="Times New Roman"/>
                <w:szCs w:val="20"/>
                <w:highlight w:val="none"/>
              </w:rPr>
              <w:t>软件可同时控制</w:t>
            </w:r>
            <w:r>
              <w:rPr>
                <w:rFonts w:hint="eastAsia" w:ascii="Times New Roman" w:hAnsi="Times New Roman" w:eastAsia="宋体" w:cs="Times New Roman"/>
                <w:szCs w:val="20"/>
                <w:highlight w:val="none"/>
                <w:lang w:val="en-US" w:eastAsia="zh-CN"/>
              </w:rPr>
              <w:t>同品牌</w:t>
            </w:r>
            <w:r>
              <w:rPr>
                <w:rFonts w:hint="eastAsia" w:ascii="Times New Roman" w:hAnsi="Times New Roman" w:eastAsia="宋体" w:cs="Times New Roman"/>
                <w:szCs w:val="20"/>
                <w:highlight w:val="none"/>
              </w:rPr>
              <w:t>离子色谱、气相色谱、液相色谱、质谱检测器。</w:t>
            </w:r>
          </w:p>
          <w:p w14:paraId="752B3A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eastAsia="宋体" w:cs="Times New Roman"/>
                <w:szCs w:val="20"/>
                <w:highlight w:val="none"/>
              </w:rPr>
            </w:pPr>
            <w:r>
              <w:rPr>
                <w:rFonts w:hint="eastAsia" w:ascii="Times New Roman" w:hAnsi="Times New Roman" w:eastAsia="宋体" w:cs="Times New Roman"/>
                <w:szCs w:val="20"/>
                <w:highlight w:val="none"/>
                <w:lang w:val="en-US" w:eastAsia="zh-CN"/>
              </w:rPr>
              <w:t>满足上述6项要求</w:t>
            </w:r>
            <w:r>
              <w:rPr>
                <w:rFonts w:hint="default" w:ascii="Times New Roman" w:hAnsi="Times New Roman" w:eastAsia="宋体" w:cs="Times New Roman"/>
                <w:szCs w:val="20"/>
                <w:highlight w:val="none"/>
              </w:rPr>
              <w:t xml:space="preserve">的得 </w:t>
            </w:r>
            <w:r>
              <w:rPr>
                <w:rFonts w:hint="eastAsia" w:ascii="Times New Roman" w:hAnsi="Times New Roman" w:eastAsia="宋体" w:cs="Times New Roman"/>
                <w:szCs w:val="20"/>
                <w:highlight w:val="none"/>
                <w:lang w:val="en-US" w:eastAsia="zh-CN"/>
              </w:rPr>
              <w:t>12</w:t>
            </w:r>
            <w:r>
              <w:rPr>
                <w:rFonts w:hint="default" w:ascii="Times New Roman" w:hAnsi="Times New Roman" w:eastAsia="宋体" w:cs="Times New Roman"/>
                <w:szCs w:val="20"/>
                <w:highlight w:val="none"/>
              </w:rPr>
              <w:t xml:space="preserve"> 分；</w:t>
            </w:r>
            <w:r>
              <w:rPr>
                <w:rFonts w:hint="eastAsia" w:ascii="Times New Roman" w:hAnsi="Times New Roman" w:eastAsia="宋体" w:cs="Times New Roman"/>
                <w:szCs w:val="20"/>
                <w:highlight w:val="none"/>
                <w:lang w:val="en-US" w:eastAsia="zh-CN"/>
              </w:rPr>
              <w:t>每出现一项不满足的</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lang w:val="en-US" w:eastAsia="zh-CN"/>
              </w:rPr>
              <w:t>每项扣2分</w:t>
            </w:r>
            <w:r>
              <w:rPr>
                <w:rFonts w:hint="default" w:ascii="Times New Roman" w:hAnsi="Times New Roman" w:eastAsia="宋体" w:cs="Times New Roman"/>
                <w:szCs w:val="20"/>
                <w:highlight w:val="none"/>
              </w:rPr>
              <w:t>。</w:t>
            </w:r>
          </w:p>
          <w:p w14:paraId="4AB806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imes New Roman" w:hAnsi="Times New Roman" w:cs="Times New Roman" w:eastAsiaTheme="minorEastAsia"/>
                <w:color w:val="auto"/>
                <w:sz w:val="21"/>
                <w:szCs w:val="20"/>
                <w:highlight w:val="none"/>
                <w:lang w:val="en-US" w:eastAsia="zh-CN" w:bidi="ar-SA"/>
              </w:rPr>
            </w:pPr>
            <w:r>
              <w:rPr>
                <w:rFonts w:hint="default" w:ascii="Times New Roman" w:hAnsi="Times New Roman" w:eastAsia="宋体" w:cs="Times New Roman"/>
                <w:szCs w:val="20"/>
                <w:highlight w:val="none"/>
              </w:rPr>
              <w:t>【注：</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lang w:val="en-US" w:eastAsia="zh-CN"/>
              </w:rPr>
              <w:t>1</w:t>
            </w:r>
            <w:r>
              <w:rPr>
                <w:rFonts w:hint="eastAsia" w:ascii="Times New Roman" w:hAnsi="Times New Roman" w:eastAsia="宋体" w:cs="Times New Roman"/>
                <w:szCs w:val="20"/>
                <w:highlight w:val="none"/>
                <w:lang w:eastAsia="zh-CN"/>
              </w:rPr>
              <w:t>）</w:t>
            </w:r>
            <w:r>
              <w:rPr>
                <w:rFonts w:hint="default" w:ascii="Times New Roman" w:hAnsi="Times New Roman" w:eastAsia="宋体" w:cs="Times New Roman"/>
                <w:szCs w:val="20"/>
                <w:highlight w:val="none"/>
              </w:rPr>
              <w:t>未提供功能视频演示的不得分</w:t>
            </w:r>
            <w:r>
              <w:rPr>
                <w:rFonts w:hint="eastAsia" w:ascii="Times New Roman" w:hAnsi="Times New Roman" w:eastAsia="宋体" w:cs="Times New Roman"/>
                <w:szCs w:val="20"/>
                <w:highlight w:val="none"/>
                <w:lang w:eastAsia="zh-CN"/>
              </w:rPr>
              <w:t>；</w:t>
            </w:r>
            <w:r>
              <w:rPr>
                <w:rFonts w:hint="default" w:ascii="Times New Roman" w:hAnsi="Times New Roman" w:eastAsia="宋体" w:cs="Times New Roman"/>
                <w:szCs w:val="20"/>
                <w:highlight w:val="none"/>
              </w:rPr>
              <w:t>（2）如评审现场功能视频演示无法播放的不得分</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lang w:val="en-US" w:eastAsia="zh-CN"/>
              </w:rPr>
              <w:t>3</w:t>
            </w:r>
            <w:r>
              <w:rPr>
                <w:rFonts w:hint="eastAsia" w:ascii="Times New Roman" w:hAnsi="Times New Roman" w:eastAsia="宋体" w:cs="Times New Roman"/>
                <w:szCs w:val="20"/>
                <w:highlight w:val="none"/>
                <w:lang w:eastAsia="zh-CN"/>
              </w:rPr>
              <w:t>）如提供的材料有欠缺、模糊或不符合要求等，均视为无效材料不得分；】</w:t>
            </w:r>
          </w:p>
        </w:tc>
      </w:tr>
      <w:tr w14:paraId="2911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888" w:type="dxa"/>
            <w:vAlign w:val="center"/>
          </w:tcPr>
          <w:p w14:paraId="5921EA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p>
        </w:tc>
        <w:tc>
          <w:tcPr>
            <w:tcW w:w="1135" w:type="dxa"/>
            <w:vAlign w:val="center"/>
          </w:tcPr>
          <w:p w14:paraId="453D0C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675" w:type="dxa"/>
            <w:vAlign w:val="center"/>
          </w:tcPr>
          <w:p w14:paraId="27ED7A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napToGrid w:val="0"/>
                <w:spacing w:val="-8"/>
                <w:sz w:val="21"/>
                <w:szCs w:val="21"/>
                <w:highlight w:val="none"/>
                <w:lang w:val="en-US" w:eastAsia="zh-CN"/>
              </w:rPr>
            </w:pPr>
            <w:r>
              <w:rPr>
                <w:rFonts w:hint="eastAsia" w:ascii="宋体" w:hAnsi="宋体" w:cs="宋体"/>
                <w:snapToGrid w:val="0"/>
                <w:spacing w:val="-8"/>
                <w:sz w:val="21"/>
                <w:szCs w:val="21"/>
                <w:highlight w:val="none"/>
                <w:lang w:val="en-US" w:eastAsia="zh-CN"/>
              </w:rPr>
              <w:t>55</w:t>
            </w:r>
            <w:r>
              <w:rPr>
                <w:rFonts w:hint="eastAsia" w:ascii="宋体" w:hAnsi="宋体" w:eastAsia="宋体" w:cs="宋体"/>
                <w:snapToGrid w:val="0"/>
                <w:spacing w:val="-8"/>
                <w:sz w:val="21"/>
                <w:szCs w:val="21"/>
                <w:highlight w:val="none"/>
                <w:lang w:val="en-US" w:eastAsia="zh-CN"/>
              </w:rPr>
              <w:t>分</w:t>
            </w:r>
          </w:p>
        </w:tc>
        <w:tc>
          <w:tcPr>
            <w:tcW w:w="6410" w:type="dxa"/>
            <w:vAlign w:val="center"/>
          </w:tcPr>
          <w:p w14:paraId="0B1A63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1"/>
                <w:szCs w:val="21"/>
                <w:highlight w:val="none"/>
              </w:rPr>
            </w:pPr>
          </w:p>
        </w:tc>
      </w:tr>
    </w:tbl>
    <w:p w14:paraId="77BBDC0C">
      <w:pPr>
        <w:pStyle w:val="17"/>
        <w:rPr>
          <w:highlight w:val="none"/>
        </w:rPr>
      </w:pPr>
    </w:p>
    <w:p w14:paraId="14157A7C">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4C7A8423">
      <w:pPr>
        <w:pStyle w:val="18"/>
        <w:rPr>
          <w:rFonts w:hint="eastAsia"/>
          <w:highlight w:val="none"/>
        </w:rPr>
      </w:pPr>
    </w:p>
    <w:p w14:paraId="02716B59">
      <w:pPr>
        <w:pStyle w:val="5"/>
        <w:spacing w:line="360" w:lineRule="auto"/>
        <w:ind w:firstLine="0"/>
        <w:rPr>
          <w:rFonts w:ascii="宋体" w:hAnsi="宋体" w:cs="宋体"/>
          <w:b/>
          <w:bCs/>
          <w:color w:val="auto"/>
          <w:szCs w:val="21"/>
          <w:highlight w:val="none"/>
        </w:rPr>
      </w:pPr>
      <w:r>
        <w:rPr>
          <w:rFonts w:hint="eastAsia" w:ascii="宋体" w:hAnsi="宋体" w:cs="宋体"/>
          <w:b/>
          <w:bCs/>
          <w:color w:val="auto"/>
          <w:szCs w:val="21"/>
          <w:highlight w:val="none"/>
        </w:rPr>
        <w:t>附表四：</w:t>
      </w:r>
    </w:p>
    <w:p w14:paraId="1FD3AE02">
      <w:pPr>
        <w:tabs>
          <w:tab w:val="left" w:pos="0"/>
          <w:tab w:val="left" w:pos="720"/>
          <w:tab w:val="left" w:pos="1080"/>
        </w:tabs>
        <w:spacing w:line="360" w:lineRule="auto"/>
        <w:ind w:left="42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商务评分表</w:t>
      </w:r>
    </w:p>
    <w:tbl>
      <w:tblPr>
        <w:tblStyle w:val="13"/>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79"/>
        <w:gridCol w:w="662"/>
        <w:gridCol w:w="6736"/>
      </w:tblGrid>
      <w:tr w14:paraId="2A4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blHeader/>
          <w:jc w:val="center"/>
        </w:trPr>
        <w:tc>
          <w:tcPr>
            <w:tcW w:w="781" w:type="dxa"/>
            <w:tcBorders>
              <w:bottom w:val="single" w:color="auto" w:sz="4" w:space="0"/>
            </w:tcBorders>
            <w:vAlign w:val="center"/>
          </w:tcPr>
          <w:p w14:paraId="40100DBC">
            <w:pPr>
              <w:pStyle w:val="19"/>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1579" w:type="dxa"/>
            <w:tcBorders>
              <w:bottom w:val="single" w:color="auto" w:sz="4" w:space="0"/>
            </w:tcBorders>
            <w:vAlign w:val="center"/>
          </w:tcPr>
          <w:p w14:paraId="458579B9">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评审项目</w:t>
            </w:r>
          </w:p>
        </w:tc>
        <w:tc>
          <w:tcPr>
            <w:tcW w:w="662" w:type="dxa"/>
            <w:tcBorders>
              <w:bottom w:val="single" w:color="auto" w:sz="4" w:space="0"/>
            </w:tcBorders>
            <w:vAlign w:val="center"/>
          </w:tcPr>
          <w:p w14:paraId="76B31B13">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分值</w:t>
            </w:r>
          </w:p>
        </w:tc>
        <w:tc>
          <w:tcPr>
            <w:tcW w:w="6736" w:type="dxa"/>
            <w:tcBorders>
              <w:bottom w:val="single" w:color="auto" w:sz="4" w:space="0"/>
            </w:tcBorders>
            <w:vAlign w:val="center"/>
          </w:tcPr>
          <w:p w14:paraId="5EE0A1D0">
            <w:pPr>
              <w:pStyle w:val="19"/>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评分细则及标准</w:t>
            </w:r>
          </w:p>
        </w:tc>
      </w:tr>
      <w:tr w14:paraId="3D9D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81" w:type="dxa"/>
            <w:vAlign w:val="center"/>
          </w:tcPr>
          <w:p w14:paraId="5885EADD">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579" w:type="dxa"/>
            <w:vAlign w:val="center"/>
          </w:tcPr>
          <w:p w14:paraId="341FF81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商务响应程度</w:t>
            </w:r>
          </w:p>
        </w:tc>
        <w:tc>
          <w:tcPr>
            <w:tcW w:w="662" w:type="dxa"/>
            <w:vAlign w:val="center"/>
          </w:tcPr>
          <w:p w14:paraId="77F3C66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736" w:type="dxa"/>
            <w:vAlign w:val="center"/>
          </w:tcPr>
          <w:p w14:paraId="5528530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完全满足或优于</w:t>
            </w:r>
            <w:r>
              <w:rPr>
                <w:rFonts w:hint="eastAsia" w:ascii="宋体" w:hAnsi="宋体" w:eastAsia="宋体" w:cs="宋体"/>
                <w:color w:val="auto"/>
                <w:sz w:val="21"/>
                <w:szCs w:val="21"/>
                <w:highlight w:val="none"/>
              </w:rPr>
              <w:t>商务要求</w:t>
            </w:r>
            <w:r>
              <w:rPr>
                <w:rFonts w:hint="eastAsia" w:ascii="宋体" w:hAnsi="宋体" w:eastAsia="宋体" w:cs="宋体"/>
                <w:color w:val="auto"/>
                <w:sz w:val="21"/>
                <w:szCs w:val="21"/>
                <w:highlight w:val="none"/>
                <w:lang w:eastAsia="zh-CN"/>
              </w:rPr>
              <w:t>全部条款（“</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交货方式”“</w:t>
            </w:r>
            <w:r>
              <w:rPr>
                <w:rFonts w:hint="eastAsia" w:ascii="宋体" w:hAnsi="宋体" w:cs="宋体"/>
                <w:color w:val="auto"/>
                <w:sz w:val="21"/>
                <w:szCs w:val="21"/>
                <w:highlight w:val="none"/>
                <w:lang w:eastAsia="zh-CN"/>
              </w:rPr>
              <w:t>3.付款方式”“6.验收要求”</w:t>
            </w:r>
            <w:r>
              <w:rPr>
                <w:rFonts w:hint="eastAsia" w:ascii="宋体" w:hAnsi="宋体" w:cs="宋体"/>
                <w:color w:val="auto"/>
                <w:sz w:val="21"/>
                <w:szCs w:val="21"/>
                <w:highlight w:val="none"/>
                <w:lang w:val="en-US" w:eastAsia="zh-CN"/>
              </w:rPr>
              <w:t>除外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分；每出现一处负偏离，扣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分，扣完为止</w:t>
            </w:r>
            <w:r>
              <w:rPr>
                <w:rFonts w:hint="eastAsia" w:ascii="宋体" w:hAnsi="宋体" w:eastAsia="宋体" w:cs="宋体"/>
                <w:color w:val="auto"/>
                <w:sz w:val="21"/>
                <w:szCs w:val="21"/>
                <w:highlight w:val="none"/>
              </w:rPr>
              <w:t>。</w:t>
            </w:r>
          </w:p>
          <w:p w14:paraId="3BD203B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【注：供应商需在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中对商务要求</w:t>
            </w:r>
            <w:r>
              <w:rPr>
                <w:rFonts w:hint="eastAsia" w:ascii="宋体" w:hAnsi="宋体" w:eastAsia="宋体" w:cs="宋体"/>
                <w:color w:val="auto"/>
                <w:sz w:val="21"/>
                <w:szCs w:val="21"/>
                <w:highlight w:val="none"/>
                <w:lang w:eastAsia="zh-CN"/>
              </w:rPr>
              <w:t>条款</w:t>
            </w:r>
            <w:r>
              <w:rPr>
                <w:rFonts w:hint="eastAsia" w:ascii="宋体" w:hAnsi="宋体" w:eastAsia="宋体" w:cs="宋体"/>
                <w:color w:val="auto"/>
                <w:sz w:val="21"/>
                <w:szCs w:val="21"/>
                <w:highlight w:val="none"/>
              </w:rPr>
              <w:t>逐条响应，说明响应情况，不按要求提供或提供不符的视为负偏离。】</w:t>
            </w:r>
          </w:p>
        </w:tc>
      </w:tr>
      <w:tr w14:paraId="76A4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81" w:type="dxa"/>
            <w:vAlign w:val="center"/>
          </w:tcPr>
          <w:p w14:paraId="780C81C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79" w:type="dxa"/>
            <w:vAlign w:val="center"/>
          </w:tcPr>
          <w:p w14:paraId="05906AF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设备使用技术培训方案 </w:t>
            </w:r>
          </w:p>
        </w:tc>
        <w:tc>
          <w:tcPr>
            <w:tcW w:w="662" w:type="dxa"/>
            <w:vAlign w:val="center"/>
          </w:tcPr>
          <w:p w14:paraId="6A4F435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736" w:type="dxa"/>
            <w:vAlign w:val="center"/>
          </w:tcPr>
          <w:p w14:paraId="1E84362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设备使用技术培训方案</w:t>
            </w:r>
            <w:r>
              <w:rPr>
                <w:rFonts w:hint="eastAsia" w:ascii="宋体" w:hAnsi="宋体" w:eastAsia="宋体" w:cs="宋体"/>
                <w:color w:val="auto"/>
                <w:sz w:val="21"/>
                <w:szCs w:val="21"/>
                <w:highlight w:val="none"/>
              </w:rPr>
              <w:t>情况评审：</w:t>
            </w:r>
          </w:p>
          <w:p w14:paraId="45D77F5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1.方案详细、全面、合理，过程节点重点和难点分析到位，有有效解决措施，得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 </w:t>
            </w:r>
          </w:p>
          <w:p w14:paraId="0C9B9CE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方案较详细、完整、基本合理，过程节点重点和难点有一定分析，有一定的解决措施，得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分； </w:t>
            </w:r>
          </w:p>
          <w:p w14:paraId="5A24DDE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3.方案一般、不详细、部分存在不合理，没有过程节点重点和难点分析或差，解决措施差或无，得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分； </w:t>
            </w:r>
          </w:p>
          <w:p w14:paraId="5FE33D3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4.未提供相关内容的得0分。</w:t>
            </w:r>
          </w:p>
        </w:tc>
      </w:tr>
      <w:tr w14:paraId="09D5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81" w:type="dxa"/>
            <w:vAlign w:val="center"/>
          </w:tcPr>
          <w:p w14:paraId="24A59E6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579" w:type="dxa"/>
            <w:vAlign w:val="center"/>
          </w:tcPr>
          <w:p w14:paraId="7391C88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同类项目</w:t>
            </w:r>
            <w:r>
              <w:rPr>
                <w:rFonts w:hint="eastAsia" w:ascii="宋体" w:hAnsi="宋体" w:eastAsia="宋体" w:cs="宋体"/>
                <w:color w:val="auto"/>
                <w:sz w:val="21"/>
                <w:szCs w:val="21"/>
                <w:highlight w:val="none"/>
              </w:rPr>
              <w:t>业绩</w:t>
            </w:r>
          </w:p>
        </w:tc>
        <w:tc>
          <w:tcPr>
            <w:tcW w:w="662" w:type="dxa"/>
            <w:vAlign w:val="center"/>
          </w:tcPr>
          <w:p w14:paraId="392E934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736" w:type="dxa"/>
            <w:vAlign w:val="center"/>
          </w:tcPr>
          <w:p w14:paraId="0661EBE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年1月1日（以合同签订时间为准）至</w:t>
            </w:r>
            <w:r>
              <w:rPr>
                <w:rFonts w:hint="eastAsia" w:ascii="宋体" w:hAnsi="宋体" w:eastAsia="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截止日前，</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业绩，每提供一项得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3CD84E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提供中标（成交）通知书（或提供买方（甲方）盖章的免招标证明）、合同关键页（包括但不限于合同首页、合同内容、双方签字盖章页）</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tc>
      </w:tr>
      <w:tr w14:paraId="0F48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360" w:type="dxa"/>
            <w:gridSpan w:val="2"/>
            <w:vAlign w:val="center"/>
          </w:tcPr>
          <w:p w14:paraId="5B0C959F">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w:t>
            </w:r>
          </w:p>
        </w:tc>
        <w:tc>
          <w:tcPr>
            <w:tcW w:w="662" w:type="dxa"/>
            <w:vAlign w:val="center"/>
          </w:tcPr>
          <w:p w14:paraId="3EF90F5C">
            <w:pPr>
              <w:keepNext w:val="0"/>
              <w:keepLines w:val="0"/>
              <w:widowControl/>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15分</w:t>
            </w:r>
          </w:p>
        </w:tc>
        <w:tc>
          <w:tcPr>
            <w:tcW w:w="6736" w:type="dxa"/>
            <w:tcBorders>
              <w:tr2bl w:val="single" w:color="auto" w:sz="4" w:space="0"/>
            </w:tcBorders>
            <w:vAlign w:val="center"/>
          </w:tcPr>
          <w:p w14:paraId="0FD86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olor w:val="auto"/>
                <w:szCs w:val="22"/>
                <w:highlight w:val="none"/>
                <w:lang w:val="en-US" w:eastAsia="zh-CN"/>
              </w:rPr>
            </w:pPr>
          </w:p>
        </w:tc>
      </w:tr>
    </w:tbl>
    <w:p w14:paraId="6A056905">
      <w:pPr>
        <w:pStyle w:val="5"/>
        <w:rPr>
          <w:rFonts w:ascii="宋体" w:hAnsi="宋体" w:cs="宋体"/>
          <w:b/>
          <w:color w:val="auto"/>
          <w:sz w:val="24"/>
          <w:szCs w:val="24"/>
          <w:highlight w:val="none"/>
        </w:rPr>
      </w:pPr>
    </w:p>
    <w:p w14:paraId="7295B7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9573E"/>
    <w:multiLevelType w:val="multilevel"/>
    <w:tmpl w:val="81C9573E"/>
    <w:lvl w:ilvl="0" w:tentative="0">
      <w:start w:val="1"/>
      <w:numFmt w:val="decimal"/>
      <w:lvlText w:val="%1."/>
      <w:lvlJc w:val="left"/>
      <w:pPr>
        <w:tabs>
          <w:tab w:val="left" w:pos="840"/>
        </w:tabs>
        <w:ind w:left="840" w:hanging="420"/>
      </w:pPr>
      <w:rPr>
        <w:rFonts w:hint="default" w:ascii="宋体" w:hAnsi="宋体" w:eastAsia="宋体" w:cs="宋体"/>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E3805BC9"/>
    <w:multiLevelType w:val="multilevel"/>
    <w:tmpl w:val="E3805BC9"/>
    <w:lvl w:ilvl="0" w:tentative="0">
      <w:start w:val="1"/>
      <w:numFmt w:val="decimal"/>
      <w:lvlText w:val="%1."/>
      <w:lvlJc w:val="left"/>
      <w:pPr>
        <w:tabs>
          <w:tab w:val="left" w:pos="840"/>
        </w:tabs>
        <w:ind w:left="840" w:hanging="420"/>
      </w:pPr>
      <w:rPr>
        <w:rFonts w:hint="default" w:ascii="宋体" w:hAnsi="宋体" w:eastAsia="宋体" w:cs="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367769"/>
    <w:multiLevelType w:val="multilevel"/>
    <w:tmpl w:val="05367769"/>
    <w:lvl w:ilvl="0" w:tentative="0">
      <w:start w:val="1"/>
      <w:numFmt w:val="decimal"/>
      <w:lvlText w:val="%1."/>
      <w:lvlJc w:val="left"/>
      <w:pPr>
        <w:tabs>
          <w:tab w:val="left" w:pos="840"/>
        </w:tabs>
        <w:ind w:left="840" w:hanging="420"/>
      </w:pPr>
      <w:rPr>
        <w:rFonts w:hint="default" w:ascii="宋体" w:hAnsi="宋体" w:eastAsia="宋体" w:cs="宋体"/>
        <w:b w:val="0"/>
        <w:b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8240B2E"/>
    <w:multiLevelType w:val="multilevel"/>
    <w:tmpl w:val="08240B2E"/>
    <w:lvl w:ilvl="0" w:tentative="0">
      <w:start w:val="1"/>
      <w:numFmt w:val="decimal"/>
      <w:lvlText w:val="%1."/>
      <w:lvlJc w:val="left"/>
      <w:pPr>
        <w:tabs>
          <w:tab w:val="left" w:pos="840"/>
        </w:tabs>
        <w:ind w:left="840" w:hanging="420"/>
      </w:pPr>
      <w:rPr>
        <w:rFonts w:hint="default" w:ascii="宋体" w:hAnsi="宋体" w:eastAsia="宋体" w:cs="宋体"/>
        <w:b w:val="0"/>
        <w:b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CBB2216"/>
    <w:multiLevelType w:val="multilevel"/>
    <w:tmpl w:val="0CBB2216"/>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92" w:hanging="567"/>
      </w:pPr>
      <w:rPr>
        <w:rFonts w:hint="eastAsia" w:ascii="宋体" w:hAnsi="宋体" w:eastAsia="宋体" w:cs="Times New Roman"/>
        <w:sz w:val="21"/>
        <w:szCs w:val="24"/>
      </w:rPr>
    </w:lvl>
    <w:lvl w:ilvl="2" w:tentative="0">
      <w:start w:val="1"/>
      <w:numFmt w:val="decimal"/>
      <w:lvlText w:val="%3."/>
      <w:lvlJc w:val="left"/>
      <w:pPr>
        <w:ind w:left="1418" w:hanging="567"/>
      </w:pPr>
      <w:rPr>
        <w:rFonts w:hint="eastAsia" w:ascii="仿宋_GB2312" w:eastAsia="仿宋_GB2312" w:cs="Times New Roman"/>
        <w:color w:val="auto"/>
        <w:sz w:val="24"/>
        <w:szCs w:val="24"/>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5">
    <w:nsid w:val="13A70F57"/>
    <w:multiLevelType w:val="multilevel"/>
    <w:tmpl w:val="13A70F57"/>
    <w:lvl w:ilvl="0" w:tentative="0">
      <w:start w:val="1"/>
      <w:numFmt w:val="chineseCountingThousand"/>
      <w:lvlText w:val="%1、"/>
      <w:lvlJc w:val="left"/>
      <w:pPr>
        <w:ind w:left="425" w:hanging="425"/>
      </w:pPr>
      <w:rPr>
        <w:rFonts w:hint="eastAsia" w:ascii="宋体" w:hAnsi="宋体" w:eastAsia="宋体" w:cs="宋体"/>
        <w:b/>
        <w:sz w:val="21"/>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418"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9F5610E"/>
    <w:multiLevelType w:val="multilevel"/>
    <w:tmpl w:val="29F5610E"/>
    <w:lvl w:ilvl="0" w:tentative="0">
      <w:start w:val="1"/>
      <w:numFmt w:val="decimal"/>
      <w:lvlText w:val="%1."/>
      <w:lvlJc w:val="left"/>
      <w:pPr>
        <w:tabs>
          <w:tab w:val="left" w:pos="840"/>
        </w:tabs>
        <w:ind w:left="840" w:hanging="420"/>
      </w:pPr>
      <w:rPr>
        <w:rFonts w:hint="default" w:ascii="宋体" w:hAnsi="宋体" w:eastAsia="宋体" w:cs="宋体"/>
        <w:color w:val="auto"/>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44F65E9B"/>
    <w:multiLevelType w:val="multilevel"/>
    <w:tmpl w:val="44F65E9B"/>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1418" w:hanging="567"/>
      </w:pPr>
      <w:rPr>
        <w:rFonts w:hint="eastAsia" w:ascii="宋体" w:hAnsi="宋体" w:eastAsia="宋体"/>
        <w:sz w:val="21"/>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44FD527E"/>
    <w:multiLevelType w:val="multilevel"/>
    <w:tmpl w:val="44FD527E"/>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b/>
        <w:sz w:val="21"/>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C230CE6"/>
    <w:multiLevelType w:val="multilevel"/>
    <w:tmpl w:val="4C230CE6"/>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1844" w:hanging="567"/>
      </w:pPr>
      <w:rPr>
        <w:rFonts w:hint="eastAsia" w:ascii="宋体" w:hAnsi="宋体" w:eastAsia="宋体"/>
        <w:sz w:val="21"/>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0A79585"/>
    <w:multiLevelType w:val="multilevel"/>
    <w:tmpl w:val="50A79585"/>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709" w:hanging="567"/>
      </w:pPr>
      <w:rPr>
        <w:rFonts w:hint="eastAsia" w:ascii="宋体" w:hAnsi="宋体" w:eastAsia="宋体"/>
        <w:b/>
        <w:sz w:val="21"/>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6216BF3"/>
    <w:multiLevelType w:val="multilevel"/>
    <w:tmpl w:val="56216BF3"/>
    <w:lvl w:ilvl="0" w:tentative="0">
      <w:start w:val="1"/>
      <w:numFmt w:val="decimal"/>
      <w:lvlText w:val="%1."/>
      <w:lvlJc w:val="left"/>
      <w:pPr>
        <w:tabs>
          <w:tab w:val="left" w:pos="840"/>
        </w:tabs>
        <w:ind w:left="840" w:hanging="420"/>
      </w:pPr>
      <w:rPr>
        <w:rFonts w:hint="default" w:ascii="宋体" w:hAnsi="宋体" w:eastAsia="宋体" w:cs="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75D2D94"/>
    <w:multiLevelType w:val="multilevel"/>
    <w:tmpl w:val="575D2D94"/>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1844" w:hanging="567"/>
      </w:pPr>
      <w:rPr>
        <w:rFonts w:hint="eastAsia" w:ascii="宋体" w:hAnsi="宋体" w:eastAsia="宋体"/>
        <w:sz w:val="21"/>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89E8A61"/>
    <w:multiLevelType w:val="multilevel"/>
    <w:tmpl w:val="589E8A61"/>
    <w:lvl w:ilvl="0" w:tentative="0">
      <w:start w:val="1"/>
      <w:numFmt w:val="decimal"/>
      <w:lvlText w:val="%1."/>
      <w:lvlJc w:val="left"/>
      <w:pPr>
        <w:tabs>
          <w:tab w:val="left" w:pos="840"/>
        </w:tabs>
        <w:ind w:left="840" w:hanging="420"/>
      </w:pPr>
      <w:rPr>
        <w:rFonts w:hint="default" w:ascii="宋体" w:hAnsi="宋体" w:eastAsia="宋体" w:cs="宋体"/>
        <w:b w:val="0"/>
        <w:b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6FE57987"/>
    <w:multiLevelType w:val="multilevel"/>
    <w:tmpl w:val="6FE57987"/>
    <w:lvl w:ilvl="0" w:tentative="0">
      <w:start w:val="1"/>
      <w:numFmt w:val="decimal"/>
      <w:lvlText w:val="%1."/>
      <w:lvlJc w:val="left"/>
      <w:pPr>
        <w:tabs>
          <w:tab w:val="left" w:pos="840"/>
        </w:tabs>
        <w:ind w:left="840" w:hanging="420"/>
      </w:pPr>
      <w:rPr>
        <w:rFonts w:hint="default" w:ascii="宋体" w:hAnsi="宋体" w:eastAsia="宋体" w:cs="宋体"/>
        <w:color w:val="auto"/>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37766E9"/>
    <w:multiLevelType w:val="multilevel"/>
    <w:tmpl w:val="737766E9"/>
    <w:lvl w:ilvl="0" w:tentative="0">
      <w:start w:val="1"/>
      <w:numFmt w:val="decimal"/>
      <w:lvlText w:val="%1."/>
      <w:lvlJc w:val="left"/>
      <w:pPr>
        <w:tabs>
          <w:tab w:val="left" w:pos="840"/>
        </w:tabs>
        <w:ind w:left="840" w:hanging="420"/>
      </w:pPr>
      <w:rPr>
        <w:rFonts w:hint="default" w:ascii="宋体" w:hAnsi="宋体" w:eastAsia="宋体" w:cs="宋体"/>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11"/>
  </w:num>
  <w:num w:numId="3">
    <w:abstractNumId w:val="9"/>
  </w:num>
  <w:num w:numId="4">
    <w:abstractNumId w:val="12"/>
  </w:num>
  <w:num w:numId="5">
    <w:abstractNumId w:val="1"/>
  </w:num>
  <w:num w:numId="6">
    <w:abstractNumId w:val="8"/>
  </w:num>
  <w:num w:numId="7">
    <w:abstractNumId w:val="3"/>
  </w:num>
  <w:num w:numId="8">
    <w:abstractNumId w:val="13"/>
  </w:num>
  <w:num w:numId="9">
    <w:abstractNumId w:val="15"/>
  </w:num>
  <w:num w:numId="10">
    <w:abstractNumId w:val="2"/>
  </w:num>
  <w:num w:numId="11">
    <w:abstractNumId w:val="0"/>
  </w:num>
  <w:num w:numId="12">
    <w:abstractNumId w:val="10"/>
  </w:num>
  <w:num w:numId="13">
    <w:abstractNumId w:val="6"/>
  </w:num>
  <w:num w:numId="14">
    <w:abstractNumId w:val="14"/>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034EC"/>
    <w:rsid w:val="1AF83D5A"/>
    <w:rsid w:val="274B521C"/>
    <w:rsid w:val="37E33D53"/>
    <w:rsid w:val="56A559C5"/>
    <w:rsid w:val="59B034EC"/>
    <w:rsid w:val="5FBB1C81"/>
    <w:rsid w:val="609D58F8"/>
    <w:rsid w:val="74F2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adjustRightInd w:val="0"/>
      <w:snapToGrid w:val="0"/>
      <w:spacing w:line="360" w:lineRule="auto"/>
      <w:jc w:val="center"/>
      <w:outlineLvl w:val="1"/>
    </w:pPr>
    <w:rPr>
      <w:rFonts w:ascii="宋体" w:hAnsi="Arial"/>
      <w:sz w:val="32"/>
    </w:rPr>
  </w:style>
  <w:style w:type="paragraph" w:styleId="4">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ind w:firstLine="420"/>
    </w:pPr>
  </w:style>
  <w:style w:type="paragraph" w:styleId="6">
    <w:name w:val="caption"/>
    <w:basedOn w:val="1"/>
    <w:next w:val="1"/>
    <w:qFormat/>
    <w:uiPriority w:val="0"/>
    <w:rPr>
      <w:rFonts w:ascii="Cambria" w:hAnsi="Cambria" w:eastAsia="黑体"/>
      <w:sz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toc 4"/>
    <w:basedOn w:val="1"/>
    <w:next w:val="1"/>
    <w:unhideWhenUsed/>
    <w:qFormat/>
    <w:uiPriority w:val="39"/>
    <w:pPr>
      <w:widowControl w:val="0"/>
      <w:ind w:left="1260" w:leftChars="600"/>
      <w:jc w:val="both"/>
    </w:pPr>
    <w:rPr>
      <w:rFonts w:ascii="Calibri" w:hAnsi="Calibri"/>
      <w:kern w:val="2"/>
      <w:szCs w:val="22"/>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8">
    <w:name w:val="表格文字"/>
    <w:basedOn w:val="1"/>
    <w:next w:val="7"/>
    <w:qFormat/>
    <w:uiPriority w:val="0"/>
    <w:pPr>
      <w:widowControl w:val="0"/>
      <w:spacing w:before="25" w:after="25"/>
    </w:pPr>
    <w:rPr>
      <w:bCs/>
      <w:spacing w:val="10"/>
      <w:sz w:val="24"/>
    </w:rPr>
  </w:style>
  <w:style w:type="paragraph" w:customStyle="1" w:styleId="19">
    <w:name w:val="表头"/>
    <w:basedOn w:val="6"/>
    <w:qFormat/>
    <w:uiPriority w:val="0"/>
    <w:pPr>
      <w:keepNext/>
      <w:keepLines/>
      <w:spacing w:before="120" w:after="120" w:line="300" w:lineRule="auto"/>
      <w:jc w:val="center"/>
      <w:textAlignment w:val="baseline"/>
    </w:pPr>
    <w:rPr>
      <w:rFonts w:ascii="Arial" w:hAnsi="Arial"/>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2025-06-08T07:53:00Z</dcterms:created>
  <dc:creator>燕真</dc:creator>
  <cp:lastModifiedBy>Administrator</cp:lastModifiedBy>
  <dcterms:modified xsi:type="dcterms:W3CDTF">2025-06-09T03:47:32Z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2C4840A8448245E28013941EA07591A1_12</vt:lpwstr>
  </property>
</Properties>
</file>