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5E937">
      <w:pPr>
        <w:spacing w:line="360" w:lineRule="auto"/>
        <w:jc w:val="center"/>
        <w:rPr>
          <w:rFonts w:hint="eastAsia" w:ascii="宋体" w:hAnsi="宋体" w:eastAsia="宋体" w:cs="宋体"/>
          <w:b/>
          <w:bCs/>
          <w:caps w:val="0"/>
          <w:color w:val="102401"/>
          <w:spacing w:val="0"/>
          <w:kern w:val="0"/>
          <w:sz w:val="24"/>
          <w:szCs w:val="24"/>
          <w:lang w:val="en-US" w:eastAsia="zh-CN" w:bidi="ar"/>
        </w:rPr>
      </w:pPr>
      <w:r>
        <w:rPr>
          <w:rFonts w:hint="eastAsia" w:ascii="宋体" w:hAnsi="宋体" w:cs="宋体"/>
          <w:b/>
          <w:bCs/>
          <w:color w:val="auto"/>
          <w:kern w:val="13"/>
          <w:sz w:val="24"/>
          <w:szCs w:val="24"/>
          <w:highlight w:val="none"/>
          <w:lang w:eastAsia="zh-CN"/>
        </w:rPr>
        <w:t>广州市生态环境局番禺环境监测站2025年</w:t>
      </w:r>
      <w:r>
        <w:rPr>
          <w:rFonts w:hint="eastAsia" w:ascii="宋体" w:hAnsi="宋体" w:cs="宋体"/>
          <w:b/>
          <w:bCs/>
          <w:color w:val="auto"/>
          <w:kern w:val="13"/>
          <w:sz w:val="24"/>
          <w:szCs w:val="24"/>
          <w:highlight w:val="none"/>
          <w:lang w:val="en-US" w:eastAsia="zh-CN"/>
        </w:rPr>
        <w:t>度</w:t>
      </w:r>
      <w:r>
        <w:rPr>
          <w:rFonts w:hint="eastAsia" w:ascii="宋体" w:hAnsi="宋体" w:cs="宋体"/>
          <w:b/>
          <w:bCs/>
          <w:color w:val="auto"/>
          <w:kern w:val="13"/>
          <w:sz w:val="24"/>
          <w:szCs w:val="24"/>
          <w:highlight w:val="none"/>
          <w:lang w:eastAsia="zh-CN"/>
        </w:rPr>
        <w:t>仪器设备采购项目</w:t>
      </w:r>
      <w:r>
        <w:rPr>
          <w:rFonts w:hint="eastAsia" w:ascii="宋体" w:hAnsi="宋体" w:eastAsia="宋体" w:cs="宋体"/>
          <w:b/>
          <w:bCs/>
          <w:caps w:val="0"/>
          <w:color w:val="102401"/>
          <w:spacing w:val="0"/>
          <w:kern w:val="0"/>
          <w:sz w:val="24"/>
          <w:szCs w:val="24"/>
          <w:lang w:val="en-US" w:eastAsia="zh-CN" w:bidi="ar"/>
        </w:rPr>
        <w:t>用户需求</w:t>
      </w:r>
    </w:p>
    <w:p w14:paraId="365AA212">
      <w:pPr>
        <w:numPr>
          <w:ilvl w:val="0"/>
          <w:numId w:val="1"/>
        </w:numPr>
        <w:spacing w:line="360" w:lineRule="auto"/>
        <w:jc w:val="both"/>
        <w:outlineLvl w:val="0"/>
        <w:rPr>
          <w:rFonts w:hint="eastAsia" w:ascii="宋体" w:hAnsi="宋体" w:eastAsia="宋体" w:cs="宋体"/>
          <w:b/>
          <w:bCs/>
          <w:caps w:val="0"/>
          <w:color w:val="102401"/>
          <w:spacing w:val="0"/>
          <w:kern w:val="0"/>
          <w:sz w:val="21"/>
          <w:szCs w:val="21"/>
          <w:lang w:val="en-US" w:eastAsia="zh-CN" w:bidi="ar"/>
        </w:rPr>
      </w:pPr>
      <w:r>
        <w:rPr>
          <w:rFonts w:hint="eastAsia" w:ascii="宋体" w:hAnsi="宋体" w:eastAsia="宋体" w:cs="宋体"/>
          <w:b/>
          <w:bCs/>
          <w:caps w:val="0"/>
          <w:color w:val="102401"/>
          <w:spacing w:val="0"/>
          <w:kern w:val="0"/>
          <w:sz w:val="21"/>
          <w:szCs w:val="21"/>
          <w:lang w:val="en-US" w:eastAsia="zh-CN" w:bidi="ar"/>
        </w:rPr>
        <w:t>项目概况</w:t>
      </w:r>
    </w:p>
    <w:p w14:paraId="1CF5547D">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1.项目名称：广州市生态环境局番禺环境监测站2025年度仪器设备采购项目。</w:t>
      </w:r>
    </w:p>
    <w:p w14:paraId="6D4382C8">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2.预算金额（最高限价）：本次项目采购环境监测设备一批。总预算为60万元人民币（大写</w:t>
      </w:r>
      <w:r>
        <w:rPr>
          <w:rFonts w:hint="eastAsia" w:ascii="宋体" w:hAnsi="宋体" w:eastAsia="宋体" w:cs="宋体"/>
          <w:spacing w:val="2"/>
          <w:kern w:val="2"/>
          <w:sz w:val="21"/>
          <w:szCs w:val="21"/>
          <w:lang w:val="en-US" w:eastAsia="zh-CN" w:bidi="ar-SA"/>
        </w:rPr>
        <w:fldChar w:fldCharType="begin"/>
      </w:r>
      <w:r>
        <w:rPr>
          <w:rFonts w:hint="eastAsia" w:ascii="宋体" w:hAnsi="宋体" w:eastAsia="宋体" w:cs="宋体"/>
          <w:spacing w:val="2"/>
          <w:kern w:val="2"/>
          <w:sz w:val="21"/>
          <w:szCs w:val="21"/>
          <w:lang w:val="en-US" w:eastAsia="zh-CN" w:bidi="ar-SA"/>
        </w:rPr>
        <w:instrText xml:space="preserve"> = 180000 \* CHINESENUM4 \* MERGEFORMAT </w:instrText>
      </w:r>
      <w:r>
        <w:rPr>
          <w:rFonts w:hint="eastAsia" w:ascii="宋体" w:hAnsi="宋体" w:eastAsia="宋体" w:cs="宋体"/>
          <w:spacing w:val="2"/>
          <w:kern w:val="2"/>
          <w:sz w:val="21"/>
          <w:szCs w:val="21"/>
          <w:lang w:val="en-US" w:eastAsia="zh-CN" w:bidi="ar-SA"/>
        </w:rPr>
        <w:fldChar w:fldCharType="separate"/>
      </w:r>
      <w:r>
        <w:rPr>
          <w:rFonts w:hint="eastAsia" w:ascii="宋体" w:hAnsi="宋体" w:eastAsia="宋体" w:cs="宋体"/>
          <w:spacing w:val="2"/>
          <w:kern w:val="2"/>
          <w:sz w:val="21"/>
          <w:szCs w:val="21"/>
          <w:lang w:val="en-US" w:eastAsia="zh-CN" w:bidi="ar-SA"/>
        </w:rPr>
        <w:t>陆拾万元整</w:t>
      </w:r>
      <w:r>
        <w:rPr>
          <w:rFonts w:hint="eastAsia" w:ascii="宋体" w:hAnsi="宋体" w:eastAsia="宋体" w:cs="宋体"/>
          <w:spacing w:val="2"/>
          <w:kern w:val="2"/>
          <w:sz w:val="21"/>
          <w:szCs w:val="21"/>
          <w:lang w:val="en-US" w:eastAsia="zh-CN" w:bidi="ar-SA"/>
        </w:rPr>
        <w:fldChar w:fldCharType="end"/>
      </w:r>
      <w:r>
        <w:rPr>
          <w:rFonts w:hint="eastAsia" w:ascii="宋体" w:hAnsi="宋体" w:eastAsia="宋体" w:cs="宋体"/>
          <w:spacing w:val="2"/>
          <w:kern w:val="2"/>
          <w:sz w:val="21"/>
          <w:szCs w:val="21"/>
          <w:lang w:val="en-US" w:eastAsia="zh-CN" w:bidi="ar-SA"/>
        </w:rPr>
        <w:t>），确定成交供应商1家。</w:t>
      </w:r>
    </w:p>
    <w:p w14:paraId="63E1B19D">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3.本项目为交钥匙承包项目，要求在安装调试验收完毕后可立即投入使用。成交供应商承包及负责采购文件对成交供应商要求的一切事宜及责任。包括项目方案、货物供货、软件提供、运输、保管、安装、调试、仪器检定、验收、培训及相关服务等。</w:t>
      </w:r>
    </w:p>
    <w:p w14:paraId="454008A2">
      <w:pPr>
        <w:numPr>
          <w:ilvl w:val="0"/>
          <w:numId w:val="1"/>
        </w:numPr>
        <w:spacing w:line="360" w:lineRule="auto"/>
        <w:jc w:val="both"/>
        <w:outlineLvl w:val="0"/>
        <w:rPr>
          <w:rFonts w:hint="eastAsia" w:ascii="宋体" w:hAnsi="宋体" w:eastAsia="宋体" w:cs="宋体"/>
          <w:b/>
          <w:bCs/>
          <w:caps w:val="0"/>
          <w:color w:val="102401"/>
          <w:spacing w:val="0"/>
          <w:kern w:val="0"/>
          <w:sz w:val="21"/>
          <w:szCs w:val="21"/>
          <w:lang w:val="en-US" w:eastAsia="zh-CN" w:bidi="ar"/>
        </w:rPr>
      </w:pPr>
      <w:r>
        <w:rPr>
          <w:rFonts w:hint="eastAsia" w:ascii="宋体" w:hAnsi="宋体" w:eastAsia="宋体" w:cs="宋体"/>
          <w:b/>
          <w:bCs/>
          <w:caps w:val="0"/>
          <w:color w:val="102401"/>
          <w:spacing w:val="0"/>
          <w:kern w:val="0"/>
          <w:sz w:val="21"/>
          <w:szCs w:val="21"/>
          <w:lang w:val="en-US" w:eastAsia="zh-CN" w:bidi="ar"/>
        </w:rPr>
        <w:t>供应商资格</w:t>
      </w:r>
    </w:p>
    <w:p w14:paraId="14304336">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zh-CN" w:eastAsia="zh-CN" w:bidi="ar-SA"/>
        </w:rPr>
      </w:pPr>
      <w:r>
        <w:rPr>
          <w:rFonts w:hint="eastAsia" w:ascii="宋体" w:hAnsi="宋体" w:eastAsia="宋体" w:cs="宋体"/>
          <w:spacing w:val="2"/>
          <w:kern w:val="2"/>
          <w:sz w:val="21"/>
          <w:szCs w:val="21"/>
          <w:lang w:val="zh-CN" w:eastAsia="zh-CN" w:bidi="ar-SA"/>
        </w:rPr>
        <w:t>1.供应商具备《政府采购法》第二十二条所规定的条件（提供书面声明，格式详见见本文件“响应文件格式”章节）：</w:t>
      </w:r>
    </w:p>
    <w:p w14:paraId="3374AAA8">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zh-CN" w:eastAsia="zh-CN" w:bidi="ar-SA"/>
        </w:rPr>
      </w:pPr>
      <w:r>
        <w:rPr>
          <w:rFonts w:hint="eastAsia" w:ascii="宋体" w:hAnsi="宋体" w:eastAsia="宋体" w:cs="宋体"/>
          <w:spacing w:val="2"/>
          <w:kern w:val="2"/>
          <w:sz w:val="21"/>
          <w:szCs w:val="21"/>
          <w:lang w:val="zh-CN" w:eastAsia="zh-CN" w:bidi="ar-SA"/>
        </w:rPr>
        <w:t>1）供应商必须是具有独立承担民事责任能力的在中华人民共和国境内注册的法人或其他组织或自然人，投标（响应）时提交有效的营业执照（或事业法人登记证或身份证等相关证明） 副本复印件；2）供应商必须具有良好的商业信誉和健全的财务会计制度；3）有依法缴纳税收和社会保障资金的良好记录；4）具备履行合同所必需的设备和专业技术能力；5）供应商参加政府采购活动前三年内，在经营活动中没有重大违法记录；6）供应商必须符合法律、行政法规规定的其他条件。</w:t>
      </w:r>
    </w:p>
    <w:p w14:paraId="5D3DB900">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zh-CN" w:eastAsia="zh-CN" w:bidi="ar-SA"/>
        </w:rPr>
      </w:pPr>
      <w:r>
        <w:rPr>
          <w:rFonts w:hint="eastAsia" w:ascii="宋体" w:hAnsi="宋体" w:eastAsia="宋体" w:cs="宋体"/>
          <w:spacing w:val="2"/>
          <w:kern w:val="2"/>
          <w:sz w:val="21"/>
          <w:szCs w:val="21"/>
          <w:lang w:val="zh-CN" w:eastAsia="zh-CN" w:bidi="ar-SA"/>
        </w:rPr>
        <w:t>2.供应商未被列入“信用中国”网站(www.creditchina.gov.cn)“记录失信被执行人或重大3税收违法失信主体或政府采购严重违法失信行为”记录名单；不处于中国政府采购网(www.ccgp.gov.cn)“政府采购严重违法失信行为信息记录”中的禁止参加政府采购活动期间。</w:t>
      </w:r>
    </w:p>
    <w:p w14:paraId="7C88B263">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zh-CN" w:eastAsia="zh-CN" w:bidi="ar-SA"/>
        </w:rPr>
      </w:pPr>
      <w:r>
        <w:rPr>
          <w:rFonts w:hint="eastAsia" w:ascii="宋体" w:hAnsi="宋体" w:eastAsia="宋体" w:cs="宋体"/>
          <w:spacing w:val="2"/>
          <w:kern w:val="2"/>
          <w:sz w:val="21"/>
          <w:szCs w:val="21"/>
          <w:lang w:val="zh-CN" w:eastAsia="zh-CN" w:bidi="ar-SA"/>
        </w:rPr>
        <w:t>3.单位负责人为同一人或者存在控股、管理关系的不同单位，不得参加同一合同项目下的政府采购活动。（提供声明函，格式详见见本文件“响应文件格式”章节）。</w:t>
      </w:r>
    </w:p>
    <w:p w14:paraId="479C119B">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zh-CN" w:eastAsia="zh-CN" w:bidi="ar-SA"/>
        </w:rPr>
      </w:pPr>
      <w:r>
        <w:rPr>
          <w:rFonts w:hint="eastAsia" w:ascii="宋体" w:hAnsi="宋体" w:eastAsia="宋体" w:cs="宋体"/>
          <w:spacing w:val="2"/>
          <w:kern w:val="2"/>
          <w:sz w:val="21"/>
          <w:szCs w:val="21"/>
          <w:lang w:val="zh-CN" w:eastAsia="zh-CN" w:bidi="ar-SA"/>
        </w:rPr>
        <w:t>4.为采购项目提供整体设计、规范编制或者项目管理、监理、检测等服务的供应商，不得再参与本项目投标。（提供声明函，格式详见见本文件“响应文件格式”章节）</w:t>
      </w:r>
    </w:p>
    <w:p w14:paraId="235809D9">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zh-CN" w:eastAsia="zh-CN" w:bidi="ar-SA"/>
        </w:rPr>
      </w:pPr>
      <w:r>
        <w:rPr>
          <w:rFonts w:hint="eastAsia" w:ascii="宋体" w:hAnsi="宋体" w:eastAsia="宋体" w:cs="宋体"/>
          <w:spacing w:val="2"/>
          <w:kern w:val="2"/>
          <w:sz w:val="21"/>
          <w:szCs w:val="21"/>
          <w:lang w:val="zh-CN" w:eastAsia="zh-CN" w:bidi="ar-SA"/>
        </w:rPr>
        <w:t>5.登记并获取本项目磋商文件。</w:t>
      </w:r>
    </w:p>
    <w:p w14:paraId="4FA592BC">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zh-CN" w:eastAsia="zh-CN" w:bidi="ar-SA"/>
        </w:rPr>
      </w:pPr>
      <w:r>
        <w:rPr>
          <w:rFonts w:hint="eastAsia" w:ascii="宋体" w:hAnsi="宋体" w:eastAsia="宋体" w:cs="宋体"/>
          <w:spacing w:val="2"/>
          <w:kern w:val="2"/>
          <w:sz w:val="21"/>
          <w:szCs w:val="21"/>
          <w:lang w:val="zh-CN" w:eastAsia="zh-CN" w:bidi="ar-SA"/>
        </w:rPr>
        <w:t>6.本项目不接受联合体磋商，</w:t>
      </w:r>
      <w:r>
        <w:rPr>
          <w:rFonts w:hint="eastAsia" w:ascii="宋体" w:hAnsi="宋体" w:eastAsia="宋体" w:cs="宋体"/>
          <w:spacing w:val="2"/>
          <w:kern w:val="2"/>
          <w:sz w:val="21"/>
          <w:szCs w:val="21"/>
          <w:lang w:val="en-US" w:eastAsia="zh-CN" w:bidi="ar-SA"/>
        </w:rPr>
        <w:t>不允许分包、转包</w:t>
      </w:r>
      <w:r>
        <w:rPr>
          <w:rFonts w:hint="eastAsia" w:ascii="宋体" w:hAnsi="宋体" w:eastAsia="宋体" w:cs="宋体"/>
          <w:spacing w:val="2"/>
          <w:kern w:val="2"/>
          <w:sz w:val="21"/>
          <w:szCs w:val="21"/>
          <w:lang w:val="zh-CN" w:eastAsia="zh-CN" w:bidi="ar-SA"/>
        </w:rPr>
        <w:t>。</w:t>
      </w:r>
    </w:p>
    <w:p w14:paraId="28D44C61">
      <w:pPr>
        <w:pStyle w:val="12"/>
        <w:keepNext w:val="0"/>
        <w:keepLines w:val="0"/>
        <w:pageBreakBefore w:val="0"/>
        <w:widowControl/>
        <w:suppressLineNumbers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7</w:t>
      </w:r>
      <w:r>
        <w:rPr>
          <w:rFonts w:hint="eastAsia" w:ascii="宋体" w:hAnsi="宋体" w:eastAsia="宋体" w:cs="宋体"/>
          <w:spacing w:val="2"/>
          <w:kern w:val="2"/>
          <w:sz w:val="21"/>
          <w:szCs w:val="21"/>
          <w:lang w:val="zh-CN" w:eastAsia="zh-CN" w:bidi="ar-SA"/>
        </w:rPr>
        <w:t>.落实政府采购政策需满足的资格要求：本</w:t>
      </w:r>
      <w:r>
        <w:rPr>
          <w:rFonts w:hint="eastAsia" w:ascii="宋体" w:hAnsi="宋体" w:eastAsia="宋体" w:cs="宋体"/>
          <w:spacing w:val="2"/>
          <w:kern w:val="2"/>
          <w:sz w:val="21"/>
          <w:szCs w:val="21"/>
          <w:lang w:val="en-US" w:eastAsia="zh-CN" w:bidi="ar-SA"/>
        </w:rPr>
        <w:t>项目</w:t>
      </w:r>
      <w:r>
        <w:rPr>
          <w:rFonts w:hint="eastAsia" w:ascii="宋体" w:hAnsi="宋体" w:eastAsia="宋体" w:cs="宋体"/>
          <w:spacing w:val="2"/>
          <w:kern w:val="2"/>
          <w:sz w:val="21"/>
          <w:szCs w:val="21"/>
          <w:lang w:val="zh-CN" w:eastAsia="zh-CN" w:bidi="ar-SA"/>
        </w:rPr>
        <w:t>整体专门面向中小企业采购。供应商提供的所有产品须全部由中小企业生产且使用该中小企业商号或注册商标。中小企业须符合本项目采购标的对应行业（工业）的政策划分标准。监狱企业、残疾人福利单位视同小型、微型企业。注：中小企业应填写的《中小企业声明函（货物）》（见投标格式）为判定标准，残疾人福利性单位填写的《残疾人福利性单位声明函》（见投标格式）为判定标准，监狱企业须供应商提供由省级以上监狱管理局、戒毒管理局（含新疆生产建设兵团）出具的属于监狱企业的证明文件，否则不予认定。</w:t>
      </w:r>
    </w:p>
    <w:p w14:paraId="315B5305">
      <w:pPr>
        <w:numPr>
          <w:ilvl w:val="0"/>
          <w:numId w:val="1"/>
        </w:numPr>
        <w:jc w:val="both"/>
        <w:outlineLvl w:val="0"/>
        <w:rPr>
          <w:rFonts w:hint="default" w:ascii="宋体" w:hAnsi="宋体" w:eastAsia="宋体" w:cs="宋体"/>
          <w:b/>
          <w:bCs/>
          <w:caps w:val="0"/>
          <w:color w:val="102401"/>
          <w:spacing w:val="0"/>
          <w:kern w:val="0"/>
          <w:sz w:val="21"/>
          <w:szCs w:val="21"/>
          <w:lang w:val="en-US" w:eastAsia="zh-CN" w:bidi="ar"/>
        </w:rPr>
      </w:pPr>
      <w:r>
        <w:rPr>
          <w:rFonts w:hint="eastAsia" w:ascii="宋体" w:hAnsi="宋体" w:eastAsia="宋体" w:cs="宋体"/>
          <w:b/>
          <w:bCs/>
          <w:caps w:val="0"/>
          <w:color w:val="102401"/>
          <w:spacing w:val="0"/>
          <w:kern w:val="0"/>
          <w:sz w:val="21"/>
          <w:szCs w:val="21"/>
          <w:lang w:val="en-US" w:eastAsia="zh-CN" w:bidi="ar"/>
        </w:rPr>
        <w:t>项目内容及要求</w:t>
      </w:r>
    </w:p>
    <w:p w14:paraId="088B283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lang w:eastAsia="zh-CN"/>
        </w:rPr>
      </w:pPr>
      <w:r>
        <w:rPr>
          <w:rFonts w:hint="eastAsia" w:ascii="宋体" w:hAnsi="宋体" w:eastAsia="宋体" w:cs="宋体"/>
          <w:b/>
          <w:bCs/>
          <w:color w:val="000000"/>
          <w:kern w:val="2"/>
          <w:sz w:val="21"/>
          <w:szCs w:val="21"/>
          <w:highlight w:val="none"/>
          <w:lang w:eastAsia="zh-CN"/>
        </w:rPr>
        <w:t>（</w:t>
      </w:r>
      <w:r>
        <w:rPr>
          <w:rFonts w:hint="eastAsia" w:ascii="宋体" w:hAnsi="宋体" w:eastAsia="宋体" w:cs="宋体"/>
          <w:b/>
          <w:bCs/>
          <w:color w:val="000000"/>
          <w:kern w:val="2"/>
          <w:sz w:val="21"/>
          <w:szCs w:val="21"/>
          <w:highlight w:val="none"/>
          <w:lang w:val="en-US" w:eastAsia="zh-CN"/>
        </w:rPr>
        <w:t>一）</w:t>
      </w:r>
      <w:r>
        <w:rPr>
          <w:rFonts w:hint="eastAsia" w:ascii="宋体" w:hAnsi="宋体" w:eastAsia="宋体" w:cs="宋体"/>
          <w:b/>
          <w:bCs/>
          <w:color w:val="000000"/>
          <w:kern w:val="2"/>
          <w:sz w:val="21"/>
          <w:szCs w:val="21"/>
          <w:highlight w:val="none"/>
          <w:lang w:eastAsia="zh-CN"/>
        </w:rPr>
        <w:t>设备清单及限价</w:t>
      </w:r>
    </w:p>
    <w:p w14:paraId="2676D07C">
      <w:pPr>
        <w:keepNext w:val="0"/>
        <w:keepLines w:val="0"/>
        <w:pageBreakBefore w:val="0"/>
        <w:widowControl w:val="0"/>
        <w:kinsoku/>
        <w:wordWrap/>
        <w:overflowPunct/>
        <w:topLinePunct w:val="0"/>
        <w:autoSpaceDE/>
        <w:autoSpaceDN/>
        <w:bidi w:val="0"/>
        <w:adjustRightInd w:val="0"/>
        <w:snapToGrid w:val="0"/>
        <w:spacing w:line="360" w:lineRule="auto"/>
        <w:jc w:val="both"/>
        <w:rPr>
          <w:rFonts w:hint="eastAsia" w:ascii="宋体" w:hAnsi="宋体" w:eastAsia="宋体" w:cs="宋体"/>
          <w:b/>
          <w:bCs/>
          <w:color w:val="000000"/>
          <w:spacing w:val="10"/>
          <w:kern w:val="2"/>
          <w:sz w:val="21"/>
          <w:szCs w:val="21"/>
          <w:highlight w:val="none"/>
          <w:lang w:val="en-US" w:eastAsia="zh-CN" w:bidi="ar-SA"/>
        </w:rPr>
      </w:pPr>
      <w:r>
        <w:rPr>
          <w:rFonts w:hint="eastAsia" w:ascii="宋体" w:hAnsi="宋体" w:eastAsia="宋体" w:cs="宋体"/>
          <w:b/>
          <w:bCs/>
          <w:color w:val="000000"/>
          <w:spacing w:val="10"/>
          <w:kern w:val="2"/>
          <w:sz w:val="21"/>
          <w:szCs w:val="21"/>
          <w:highlight w:val="none"/>
          <w:lang w:val="en-US" w:eastAsia="zh-CN" w:bidi="ar-SA"/>
        </w:rPr>
        <w:t>★对下列所有采购内容的投标报价不可超过下表列出的单价最高限价。</w:t>
      </w:r>
    </w:p>
    <w:tbl>
      <w:tblPr>
        <w:tblStyle w:val="1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592"/>
        <w:gridCol w:w="1064"/>
        <w:gridCol w:w="1943"/>
        <w:gridCol w:w="2374"/>
      </w:tblGrid>
      <w:tr w14:paraId="2179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7" w:type="dxa"/>
            <w:vAlign w:val="center"/>
          </w:tcPr>
          <w:p w14:paraId="36D412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序号</w:t>
            </w:r>
          </w:p>
        </w:tc>
        <w:tc>
          <w:tcPr>
            <w:tcW w:w="3592" w:type="dxa"/>
            <w:vAlign w:val="center"/>
          </w:tcPr>
          <w:p w14:paraId="178177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采购设备名称</w:t>
            </w:r>
          </w:p>
        </w:tc>
        <w:tc>
          <w:tcPr>
            <w:tcW w:w="1064" w:type="dxa"/>
            <w:vAlign w:val="center"/>
          </w:tcPr>
          <w:p w14:paraId="2B72F6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color w:val="000000"/>
                <w:kern w:val="2"/>
                <w:sz w:val="21"/>
                <w:szCs w:val="21"/>
                <w:highlight w:val="none"/>
                <w:lang w:val="en-US" w:eastAsia="zh-CN"/>
              </w:rPr>
            </w:pPr>
            <w:r>
              <w:rPr>
                <w:rFonts w:hint="eastAsia" w:ascii="宋体" w:hAnsi="宋体" w:eastAsia="宋体" w:cs="宋体"/>
                <w:b/>
                <w:color w:val="000000"/>
                <w:kern w:val="2"/>
                <w:sz w:val="21"/>
                <w:szCs w:val="21"/>
                <w:highlight w:val="none"/>
                <w:lang w:val="en-US" w:eastAsia="zh-CN"/>
              </w:rPr>
              <w:t>单位</w:t>
            </w:r>
          </w:p>
        </w:tc>
        <w:tc>
          <w:tcPr>
            <w:tcW w:w="1943" w:type="dxa"/>
            <w:vAlign w:val="center"/>
          </w:tcPr>
          <w:p w14:paraId="189B09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数量</w:t>
            </w:r>
          </w:p>
          <w:p w14:paraId="046757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b/>
                <w:color w:val="000000"/>
                <w:kern w:val="2"/>
                <w:sz w:val="21"/>
                <w:szCs w:val="21"/>
                <w:highlight w:val="none"/>
                <w:lang w:val="en-US" w:eastAsia="zh-CN"/>
              </w:rPr>
            </w:pPr>
            <w:r>
              <w:rPr>
                <w:rFonts w:hint="eastAsia" w:ascii="宋体" w:hAnsi="宋体" w:eastAsia="宋体" w:cs="宋体"/>
                <w:b/>
                <w:color w:val="000000"/>
                <w:kern w:val="2"/>
                <w:sz w:val="21"/>
                <w:szCs w:val="21"/>
                <w:highlight w:val="none"/>
              </w:rPr>
              <w:t>（台/套）</w:t>
            </w:r>
          </w:p>
        </w:tc>
        <w:tc>
          <w:tcPr>
            <w:tcW w:w="2374" w:type="dxa"/>
            <w:vAlign w:val="center"/>
          </w:tcPr>
          <w:p w14:paraId="2707AB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color w:val="000000"/>
                <w:kern w:val="2"/>
                <w:sz w:val="21"/>
                <w:szCs w:val="21"/>
                <w:highlight w:val="none"/>
                <w:lang w:eastAsia="zh-CN"/>
              </w:rPr>
            </w:pPr>
            <w:r>
              <w:rPr>
                <w:rFonts w:hint="eastAsia" w:ascii="宋体" w:hAnsi="宋体" w:eastAsia="宋体" w:cs="宋体"/>
                <w:b/>
                <w:color w:val="000000"/>
                <w:kern w:val="2"/>
                <w:sz w:val="21"/>
                <w:szCs w:val="21"/>
                <w:highlight w:val="none"/>
                <w:lang w:val="en-US" w:eastAsia="zh-CN"/>
              </w:rPr>
              <w:t>单价</w:t>
            </w:r>
            <w:r>
              <w:rPr>
                <w:rFonts w:hint="eastAsia" w:ascii="宋体" w:hAnsi="宋体" w:eastAsia="宋体" w:cs="宋体"/>
                <w:b/>
                <w:color w:val="000000"/>
                <w:kern w:val="2"/>
                <w:sz w:val="21"/>
                <w:szCs w:val="21"/>
                <w:highlight w:val="none"/>
                <w:lang w:eastAsia="zh-CN"/>
              </w:rPr>
              <w:t>最高限价（元）</w:t>
            </w:r>
          </w:p>
        </w:tc>
      </w:tr>
      <w:tr w14:paraId="5399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87" w:type="dxa"/>
            <w:vAlign w:val="center"/>
          </w:tcPr>
          <w:p w14:paraId="52B96D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592" w:type="dxa"/>
            <w:vAlign w:val="center"/>
          </w:tcPr>
          <w:p w14:paraId="199704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highlight w:val="none"/>
                <w:lang w:val="en-US" w:eastAsia="zh-CN" w:bidi="ar-SA"/>
              </w:rPr>
            </w:pPr>
            <w:r>
              <w:rPr>
                <w:rFonts w:hint="default" w:ascii="Times New Roman" w:hAnsi="Times New Roman" w:eastAsia="宋体" w:cs="宋体"/>
                <w:color w:val="auto"/>
                <w:sz w:val="21"/>
                <w:szCs w:val="21"/>
                <w:highlight w:val="none"/>
                <w:lang w:val="en-US" w:eastAsia="zh-CN"/>
              </w:rPr>
              <w:t>离子色谱仪</w:t>
            </w:r>
          </w:p>
        </w:tc>
        <w:tc>
          <w:tcPr>
            <w:tcW w:w="1064" w:type="dxa"/>
            <w:vAlign w:val="center"/>
          </w:tcPr>
          <w:p w14:paraId="037C59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val="0"/>
                <w:bCs/>
                <w:color w:val="000000"/>
                <w:kern w:val="2"/>
                <w:sz w:val="21"/>
                <w:szCs w:val="21"/>
                <w:highlight w:val="none"/>
                <w:lang w:eastAsia="zh-CN"/>
              </w:rPr>
            </w:pPr>
            <w:r>
              <w:rPr>
                <w:rFonts w:hint="eastAsia" w:ascii="宋体" w:hAnsi="宋体" w:eastAsia="宋体" w:cs="宋体"/>
                <w:b w:val="0"/>
                <w:bCs/>
                <w:color w:val="000000"/>
                <w:kern w:val="2"/>
                <w:sz w:val="21"/>
                <w:szCs w:val="21"/>
                <w:highlight w:val="none"/>
              </w:rPr>
              <w:t>台/套</w:t>
            </w:r>
          </w:p>
        </w:tc>
        <w:tc>
          <w:tcPr>
            <w:tcW w:w="1943" w:type="dxa"/>
            <w:shd w:val="clear" w:color="auto" w:fill="auto"/>
            <w:vAlign w:val="center"/>
          </w:tcPr>
          <w:p w14:paraId="769949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1</w:t>
            </w:r>
          </w:p>
        </w:tc>
        <w:tc>
          <w:tcPr>
            <w:tcW w:w="2374" w:type="dxa"/>
            <w:shd w:val="clear" w:color="auto" w:fill="auto"/>
            <w:vAlign w:val="center"/>
          </w:tcPr>
          <w:p w14:paraId="4AA8DF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default" w:ascii="宋体" w:hAnsi="宋体" w:eastAsia="宋体" w:cs="宋体"/>
                <w:color w:val="000000"/>
                <w:kern w:val="2"/>
                <w:sz w:val="21"/>
                <w:szCs w:val="21"/>
                <w:highlight w:val="none"/>
                <w:lang w:val="en-US" w:eastAsia="zh-CN"/>
              </w:rPr>
            </w:pPr>
            <w:r>
              <w:rPr>
                <w:rFonts w:hint="default" w:ascii="Times New Roman" w:hAnsi="Times New Roman" w:eastAsia="宋体" w:cs="宋体"/>
                <w:color w:val="auto"/>
                <w:sz w:val="21"/>
                <w:szCs w:val="21"/>
                <w:highlight w:val="none"/>
                <w:lang w:val="en-US" w:eastAsia="zh-CN"/>
              </w:rPr>
              <w:t>500</w:t>
            </w:r>
            <w:r>
              <w:rPr>
                <w:rFonts w:hint="eastAsia" w:ascii="Times New Roman" w:hAnsi="Times New Roman" w:eastAsia="宋体" w:cs="宋体"/>
                <w:color w:val="auto"/>
                <w:sz w:val="21"/>
                <w:szCs w:val="21"/>
                <w:highlight w:val="none"/>
                <w:lang w:val="en-US" w:eastAsia="zh-CN"/>
              </w:rPr>
              <w:t>,</w:t>
            </w:r>
            <w:r>
              <w:rPr>
                <w:rFonts w:hint="default" w:ascii="Times New Roman" w:hAnsi="Times New Roman" w:eastAsia="宋体" w:cs="宋体"/>
                <w:color w:val="auto"/>
                <w:sz w:val="21"/>
                <w:szCs w:val="21"/>
                <w:highlight w:val="none"/>
                <w:lang w:val="en-US" w:eastAsia="zh-CN"/>
              </w:rPr>
              <w:t>000</w:t>
            </w:r>
            <w:r>
              <w:rPr>
                <w:rFonts w:hint="eastAsia" w:ascii="Times New Roman" w:hAnsi="Times New Roman" w:eastAsia="宋体" w:cs="宋体"/>
                <w:color w:val="auto"/>
                <w:sz w:val="21"/>
                <w:szCs w:val="21"/>
                <w:highlight w:val="none"/>
                <w:lang w:val="en-US" w:eastAsia="zh-CN"/>
              </w:rPr>
              <w:t>.00</w:t>
            </w:r>
          </w:p>
        </w:tc>
      </w:tr>
      <w:tr w14:paraId="604C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7" w:type="dxa"/>
            <w:vAlign w:val="center"/>
          </w:tcPr>
          <w:p w14:paraId="145FF5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w:t>
            </w:r>
          </w:p>
        </w:tc>
        <w:tc>
          <w:tcPr>
            <w:tcW w:w="3592" w:type="dxa"/>
            <w:vAlign w:val="center"/>
          </w:tcPr>
          <w:p w14:paraId="3DFCE3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highlight w:val="none"/>
                <w:lang w:val="en-US" w:eastAsia="zh-CN" w:bidi="ar-SA"/>
              </w:rPr>
            </w:pPr>
            <w:r>
              <w:rPr>
                <w:rFonts w:hint="default" w:ascii="Times New Roman" w:hAnsi="Times New Roman" w:eastAsia="宋体" w:cs="宋体"/>
                <w:color w:val="auto"/>
                <w:sz w:val="21"/>
                <w:szCs w:val="21"/>
                <w:highlight w:val="none"/>
                <w:lang w:val="en-US" w:eastAsia="zh-CN"/>
              </w:rPr>
              <w:t>全自动蒸馏仪</w:t>
            </w:r>
          </w:p>
        </w:tc>
        <w:tc>
          <w:tcPr>
            <w:tcW w:w="1064" w:type="dxa"/>
            <w:vAlign w:val="center"/>
          </w:tcPr>
          <w:p w14:paraId="277AE4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val="0"/>
                <w:bCs/>
                <w:color w:val="000000"/>
                <w:kern w:val="2"/>
                <w:sz w:val="21"/>
                <w:szCs w:val="21"/>
                <w:highlight w:val="none"/>
                <w:lang w:eastAsia="zh-CN"/>
              </w:rPr>
            </w:pPr>
            <w:r>
              <w:rPr>
                <w:rFonts w:hint="eastAsia" w:ascii="宋体" w:hAnsi="宋体" w:eastAsia="宋体" w:cs="宋体"/>
                <w:b w:val="0"/>
                <w:bCs/>
                <w:color w:val="000000"/>
                <w:kern w:val="2"/>
                <w:sz w:val="21"/>
                <w:szCs w:val="21"/>
                <w:highlight w:val="none"/>
              </w:rPr>
              <w:t>台/套</w:t>
            </w:r>
          </w:p>
        </w:tc>
        <w:tc>
          <w:tcPr>
            <w:tcW w:w="1943" w:type="dxa"/>
            <w:shd w:val="clear" w:color="auto" w:fill="auto"/>
            <w:vAlign w:val="center"/>
          </w:tcPr>
          <w:p w14:paraId="30D335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1</w:t>
            </w:r>
          </w:p>
        </w:tc>
        <w:tc>
          <w:tcPr>
            <w:tcW w:w="2374" w:type="dxa"/>
            <w:shd w:val="clear" w:color="auto" w:fill="auto"/>
            <w:vAlign w:val="center"/>
          </w:tcPr>
          <w:p w14:paraId="3FB49C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default" w:ascii="宋体" w:hAnsi="宋体" w:eastAsia="宋体" w:cs="宋体"/>
                <w:color w:val="000000"/>
                <w:kern w:val="2"/>
                <w:sz w:val="21"/>
                <w:szCs w:val="21"/>
                <w:highlight w:val="none"/>
                <w:lang w:val="en-US" w:eastAsia="zh-CN"/>
              </w:rPr>
            </w:pPr>
            <w:r>
              <w:rPr>
                <w:rFonts w:hint="default" w:ascii="Times New Roman" w:hAnsi="Times New Roman" w:eastAsia="宋体" w:cs="宋体"/>
                <w:color w:val="auto"/>
                <w:sz w:val="21"/>
                <w:szCs w:val="21"/>
                <w:highlight w:val="none"/>
                <w:lang w:val="en-US" w:eastAsia="zh-CN"/>
              </w:rPr>
              <w:t>75</w:t>
            </w:r>
            <w:r>
              <w:rPr>
                <w:rFonts w:hint="eastAsia" w:ascii="Times New Roman" w:hAnsi="Times New Roman" w:eastAsia="宋体" w:cs="宋体"/>
                <w:color w:val="auto"/>
                <w:sz w:val="21"/>
                <w:szCs w:val="21"/>
                <w:highlight w:val="none"/>
                <w:lang w:val="en-US" w:eastAsia="zh-CN"/>
              </w:rPr>
              <w:t>,</w:t>
            </w:r>
            <w:r>
              <w:rPr>
                <w:rFonts w:hint="default" w:ascii="Times New Roman" w:hAnsi="Times New Roman" w:eastAsia="宋体" w:cs="宋体"/>
                <w:color w:val="auto"/>
                <w:sz w:val="21"/>
                <w:szCs w:val="21"/>
                <w:highlight w:val="none"/>
                <w:lang w:val="en-US" w:eastAsia="zh-CN"/>
              </w:rPr>
              <w:t>000</w:t>
            </w:r>
            <w:r>
              <w:rPr>
                <w:rFonts w:hint="eastAsia" w:ascii="Times New Roman" w:hAnsi="Times New Roman" w:eastAsia="宋体" w:cs="宋体"/>
                <w:color w:val="auto"/>
                <w:sz w:val="21"/>
                <w:szCs w:val="21"/>
                <w:highlight w:val="none"/>
                <w:lang w:val="en-US" w:eastAsia="zh-CN"/>
              </w:rPr>
              <w:t>.00</w:t>
            </w:r>
          </w:p>
        </w:tc>
      </w:tr>
      <w:tr w14:paraId="301E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7" w:type="dxa"/>
            <w:vAlign w:val="center"/>
          </w:tcPr>
          <w:p w14:paraId="5E1CA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3</w:t>
            </w:r>
          </w:p>
        </w:tc>
        <w:tc>
          <w:tcPr>
            <w:tcW w:w="3592" w:type="dxa"/>
            <w:vAlign w:val="center"/>
          </w:tcPr>
          <w:p w14:paraId="732322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highlight w:val="none"/>
              </w:rPr>
            </w:pPr>
            <w:r>
              <w:rPr>
                <w:rFonts w:hint="default" w:ascii="Times New Roman" w:hAnsi="Times New Roman" w:eastAsia="宋体" w:cs="宋体"/>
                <w:color w:val="auto"/>
                <w:sz w:val="21"/>
                <w:szCs w:val="21"/>
                <w:highlight w:val="none"/>
                <w:lang w:val="en-US" w:eastAsia="zh-CN"/>
              </w:rPr>
              <w:t>耐腐蚀电热板</w:t>
            </w:r>
          </w:p>
        </w:tc>
        <w:tc>
          <w:tcPr>
            <w:tcW w:w="1064" w:type="dxa"/>
            <w:vAlign w:val="center"/>
          </w:tcPr>
          <w:p w14:paraId="589C2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val="0"/>
                <w:bCs/>
                <w:color w:val="000000"/>
                <w:kern w:val="2"/>
                <w:sz w:val="21"/>
                <w:szCs w:val="21"/>
                <w:highlight w:val="none"/>
                <w:lang w:eastAsia="zh-CN"/>
              </w:rPr>
            </w:pPr>
            <w:r>
              <w:rPr>
                <w:rFonts w:hint="eastAsia" w:ascii="宋体" w:hAnsi="宋体" w:eastAsia="宋体" w:cs="宋体"/>
                <w:b w:val="0"/>
                <w:bCs/>
                <w:color w:val="000000"/>
                <w:kern w:val="2"/>
                <w:sz w:val="21"/>
                <w:szCs w:val="21"/>
                <w:highlight w:val="none"/>
              </w:rPr>
              <w:t>台/套</w:t>
            </w:r>
          </w:p>
        </w:tc>
        <w:tc>
          <w:tcPr>
            <w:tcW w:w="1943" w:type="dxa"/>
            <w:vAlign w:val="center"/>
          </w:tcPr>
          <w:p w14:paraId="42D757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1</w:t>
            </w:r>
          </w:p>
        </w:tc>
        <w:tc>
          <w:tcPr>
            <w:tcW w:w="2374" w:type="dxa"/>
            <w:vAlign w:val="center"/>
          </w:tcPr>
          <w:p w14:paraId="31B47B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default" w:ascii="宋体" w:hAnsi="宋体" w:eastAsia="宋体" w:cs="宋体"/>
                <w:color w:val="000000"/>
                <w:kern w:val="2"/>
                <w:sz w:val="21"/>
                <w:szCs w:val="21"/>
                <w:highlight w:val="none"/>
                <w:lang w:val="en-US" w:eastAsia="zh-CN"/>
              </w:rPr>
            </w:pPr>
            <w:r>
              <w:rPr>
                <w:rFonts w:hint="default" w:ascii="Times New Roman" w:hAnsi="Times New Roman" w:eastAsia="宋体" w:cs="宋体"/>
                <w:color w:val="auto"/>
                <w:sz w:val="21"/>
                <w:szCs w:val="21"/>
                <w:highlight w:val="none"/>
                <w:lang w:val="en-US" w:eastAsia="zh-CN"/>
              </w:rPr>
              <w:t>15</w:t>
            </w:r>
            <w:r>
              <w:rPr>
                <w:rFonts w:hint="eastAsia" w:ascii="Times New Roman" w:hAnsi="Times New Roman" w:eastAsia="宋体" w:cs="宋体"/>
                <w:color w:val="auto"/>
                <w:sz w:val="21"/>
                <w:szCs w:val="21"/>
                <w:highlight w:val="none"/>
                <w:lang w:val="en-US" w:eastAsia="zh-CN"/>
              </w:rPr>
              <w:t>,</w:t>
            </w:r>
            <w:r>
              <w:rPr>
                <w:rFonts w:hint="default" w:ascii="Times New Roman" w:hAnsi="Times New Roman" w:eastAsia="宋体" w:cs="宋体"/>
                <w:color w:val="auto"/>
                <w:sz w:val="21"/>
                <w:szCs w:val="21"/>
                <w:highlight w:val="none"/>
                <w:lang w:val="en-US" w:eastAsia="zh-CN"/>
              </w:rPr>
              <w:t>000</w:t>
            </w:r>
            <w:r>
              <w:rPr>
                <w:rFonts w:hint="eastAsia" w:ascii="Times New Roman" w:hAnsi="Times New Roman" w:eastAsia="宋体" w:cs="宋体"/>
                <w:color w:val="auto"/>
                <w:sz w:val="21"/>
                <w:szCs w:val="21"/>
                <w:highlight w:val="none"/>
                <w:lang w:val="en-US" w:eastAsia="zh-CN"/>
              </w:rPr>
              <w:t>.00</w:t>
            </w:r>
          </w:p>
        </w:tc>
      </w:tr>
      <w:tr w14:paraId="19A4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7" w:type="dxa"/>
            <w:vAlign w:val="center"/>
          </w:tcPr>
          <w:p w14:paraId="46F685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p>
        </w:tc>
        <w:tc>
          <w:tcPr>
            <w:tcW w:w="3592" w:type="dxa"/>
            <w:vAlign w:val="center"/>
          </w:tcPr>
          <w:p w14:paraId="34450D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highlight w:val="none"/>
              </w:rPr>
            </w:pPr>
            <w:r>
              <w:rPr>
                <w:rFonts w:hint="default" w:ascii="Times New Roman" w:hAnsi="Times New Roman" w:eastAsia="宋体" w:cs="宋体"/>
                <w:color w:val="auto"/>
                <w:sz w:val="21"/>
                <w:szCs w:val="21"/>
                <w:highlight w:val="none"/>
                <w:lang w:val="en-US" w:eastAsia="zh-CN"/>
              </w:rPr>
              <w:t>北斗定位仪</w:t>
            </w:r>
          </w:p>
        </w:tc>
        <w:tc>
          <w:tcPr>
            <w:tcW w:w="1064" w:type="dxa"/>
            <w:vAlign w:val="center"/>
          </w:tcPr>
          <w:p w14:paraId="2C6A35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台/套</w:t>
            </w:r>
          </w:p>
        </w:tc>
        <w:tc>
          <w:tcPr>
            <w:tcW w:w="1943" w:type="dxa"/>
            <w:vAlign w:val="center"/>
          </w:tcPr>
          <w:p w14:paraId="0BC026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p>
        </w:tc>
        <w:tc>
          <w:tcPr>
            <w:tcW w:w="2374" w:type="dxa"/>
            <w:vAlign w:val="center"/>
          </w:tcPr>
          <w:p w14:paraId="18F886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Times New Roman" w:hAnsi="Times New Roman" w:eastAsia="宋体" w:cs="宋体"/>
                <w:color w:val="auto"/>
                <w:sz w:val="21"/>
                <w:szCs w:val="21"/>
                <w:highlight w:val="none"/>
                <w:lang w:val="en-US" w:eastAsia="zh-CN"/>
              </w:rPr>
              <w:t>5</w:t>
            </w:r>
            <w:r>
              <w:rPr>
                <w:rFonts w:hint="eastAsia" w:ascii="Times New Roman" w:hAnsi="Times New Roman" w:eastAsia="宋体" w:cs="宋体"/>
                <w:color w:val="auto"/>
                <w:sz w:val="21"/>
                <w:szCs w:val="21"/>
                <w:highlight w:val="none"/>
                <w:lang w:val="en-US" w:eastAsia="zh-CN"/>
              </w:rPr>
              <w:t>,</w:t>
            </w:r>
            <w:r>
              <w:rPr>
                <w:rFonts w:hint="default" w:ascii="Times New Roman" w:hAnsi="Times New Roman" w:eastAsia="宋体" w:cs="宋体"/>
                <w:color w:val="auto"/>
                <w:sz w:val="21"/>
                <w:szCs w:val="21"/>
                <w:highlight w:val="none"/>
                <w:lang w:val="en-US" w:eastAsia="zh-CN"/>
              </w:rPr>
              <w:t>000</w:t>
            </w:r>
            <w:r>
              <w:rPr>
                <w:rFonts w:hint="eastAsia" w:ascii="Times New Roman" w:hAnsi="Times New Roman" w:eastAsia="宋体" w:cs="宋体"/>
                <w:color w:val="auto"/>
                <w:sz w:val="21"/>
                <w:szCs w:val="21"/>
                <w:highlight w:val="none"/>
                <w:lang w:val="en-US" w:eastAsia="zh-CN"/>
              </w:rPr>
              <w:t>.00</w:t>
            </w:r>
          </w:p>
        </w:tc>
      </w:tr>
    </w:tbl>
    <w:p w14:paraId="696D9783">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（二）技术要求</w:t>
      </w:r>
    </w:p>
    <w:tbl>
      <w:tblPr>
        <w:tblStyle w:val="15"/>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557"/>
        <w:gridCol w:w="5916"/>
      </w:tblGrid>
      <w:tr w14:paraId="0A03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14:paraId="51D5BE0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default"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2557" w:type="dxa"/>
            <w:shd w:val="clear" w:color="auto" w:fill="auto"/>
            <w:vAlign w:val="center"/>
          </w:tcPr>
          <w:p w14:paraId="3887071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default"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设备名称</w:t>
            </w:r>
          </w:p>
        </w:tc>
        <w:tc>
          <w:tcPr>
            <w:tcW w:w="5916" w:type="dxa"/>
            <w:shd w:val="clear" w:color="auto" w:fill="auto"/>
            <w:vAlign w:val="center"/>
          </w:tcPr>
          <w:p w14:paraId="7069403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default"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技术要求（每台/套设备的具体技术参数和配置</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如有特别说明的除外</w:t>
            </w:r>
            <w:r>
              <w:rPr>
                <w:rFonts w:hint="eastAsia" w:ascii="宋体" w:hAnsi="宋体" w:eastAsia="宋体" w:cs="宋体"/>
                <w:b/>
                <w:bCs/>
                <w:color w:val="000000"/>
                <w:kern w:val="0"/>
                <w:sz w:val="21"/>
                <w:szCs w:val="21"/>
                <w:highlight w:val="none"/>
              </w:rPr>
              <w:t>）</w:t>
            </w:r>
          </w:p>
        </w:tc>
      </w:tr>
      <w:tr w14:paraId="38CF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14:paraId="40813D5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default"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w:t>
            </w:r>
          </w:p>
        </w:tc>
        <w:tc>
          <w:tcPr>
            <w:tcW w:w="2557" w:type="dxa"/>
            <w:shd w:val="clear" w:color="auto" w:fill="auto"/>
            <w:vAlign w:val="center"/>
          </w:tcPr>
          <w:p w14:paraId="54D0A1B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default"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离子色谱仪</w:t>
            </w:r>
          </w:p>
        </w:tc>
        <w:tc>
          <w:tcPr>
            <w:tcW w:w="5916" w:type="dxa"/>
            <w:shd w:val="clear" w:color="auto" w:fill="auto"/>
            <w:vAlign w:val="center"/>
          </w:tcPr>
          <w:p w14:paraId="58C4861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1.设备总体要求 </w:t>
            </w:r>
          </w:p>
          <w:p w14:paraId="1837CF5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u w:val="single"/>
              </w:rPr>
            </w:pPr>
            <w:r>
              <w:rPr>
                <w:rFonts w:hint="eastAsia" w:ascii="宋体" w:hAnsi="宋体" w:eastAsia="宋体" w:cs="宋体"/>
                <w:b/>
                <w:bCs/>
                <w:color w:val="000000"/>
                <w:kern w:val="0"/>
                <w:sz w:val="21"/>
                <w:szCs w:val="21"/>
                <w:highlight w:val="none"/>
                <w:u w:val="single"/>
              </w:rPr>
              <w:t>★适用于检测水样中氟化物、氯化物、硫酸盐、硝酸盐、亚硝酸盐、磷酸盐、碘化物等以及气中硫酸雾、氯化氢等项目，仪器能完全满足：水质 无机阴离子（F-、Cl-、NO2-、Br-、NO3-、PO43-、SO32-、SO42-）的测定离子色谱法（HJ 84-2016）、环境空气和废气 氯化氢的测定 离子色谱法(HJ 549-2016)、固定污染源废气硫酸雾的测定 离子色谱法（HJ 544-2016)、水质 碘化物的测定 离子色谱法（HJ 778-2015）等标准关于测量仪器的要求。</w:t>
            </w:r>
          </w:p>
          <w:p w14:paraId="598C622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2.技术指标要求 </w:t>
            </w:r>
          </w:p>
          <w:p w14:paraId="0297EC2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2.1离子色谱系统，包括高压PEEK泵，内置电动六通阀，保护柱，分析柱，阴阳离子抑制器和电导检测器，整个系统兼容零死体积接头及管线。</w:t>
            </w:r>
          </w:p>
          <w:p w14:paraId="0397E1F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2.1.1配置漏液传感器，实时监控泵、色谱柱、六通阀、电导检测器及管路的连接状态。</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需提供操作手册截图。</w:t>
            </w:r>
          </w:p>
          <w:p w14:paraId="7F94CEE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2.1.2主机内置数字式气压调节器，提高输气精度，且软件可记录。</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需提供软件该功能截图。</w:t>
            </w:r>
          </w:p>
          <w:p w14:paraId="70BCB78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2.1.3▲ 离子色谱主机内部可预留额外的阀位，能同时安装</w:t>
            </w:r>
            <w:r>
              <w:rPr>
                <w:rFonts w:hint="eastAsia" w:ascii="宋体" w:hAnsi="宋体" w:cs="宋体"/>
                <w:b/>
                <w:bCs/>
                <w:color w:val="000000"/>
                <w:kern w:val="0"/>
                <w:sz w:val="21"/>
                <w:szCs w:val="21"/>
                <w:highlight w:val="none"/>
                <w:lang w:val="en-US" w:eastAsia="zh-CN"/>
              </w:rPr>
              <w:t>≥4</w:t>
            </w:r>
            <w:r>
              <w:rPr>
                <w:rFonts w:hint="eastAsia" w:ascii="宋体" w:hAnsi="宋体" w:eastAsia="宋体" w:cs="宋体"/>
                <w:b/>
                <w:bCs/>
                <w:color w:val="000000"/>
                <w:kern w:val="0"/>
                <w:sz w:val="21"/>
                <w:szCs w:val="21"/>
                <w:highlight w:val="none"/>
              </w:rPr>
              <w:t>个内置的二位多通阀，用于在线样品前处理。</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提供仪器功能视频演示。</w:t>
            </w:r>
          </w:p>
          <w:p w14:paraId="7E5F9EA1">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2.1.4▲具有可视化功能：无需打开任何部件，即可观察抑制器等的工作状态及管路连接情况。</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提供仪器功能视频演示。</w:t>
            </w:r>
          </w:p>
          <w:p w14:paraId="67DE34C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2.2输液泵系统</w:t>
            </w:r>
          </w:p>
          <w:p w14:paraId="1B5CBF3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2.2.1 高性能、低脉冲、高压双柱塞泵，泵所有部件均采用PEEK非金属材质，适合于pH为0～14的淋洗液及反相有机溶剂。</w:t>
            </w:r>
          </w:p>
          <w:p w14:paraId="30A2030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2.2.2 泵流速</w:t>
            </w:r>
            <w:r>
              <w:rPr>
                <w:rFonts w:hint="eastAsia" w:ascii="宋体" w:hAnsi="宋体" w:cs="宋体"/>
                <w:color w:val="000000"/>
                <w:kern w:val="0"/>
                <w:sz w:val="21"/>
                <w:szCs w:val="21"/>
                <w:highlight w:val="none"/>
                <w:lang w:val="en-US" w:eastAsia="zh-CN"/>
              </w:rPr>
              <w:t>范围：0-</w:t>
            </w:r>
            <w:r>
              <w:rPr>
                <w:rFonts w:hint="eastAsia" w:ascii="宋体" w:hAnsi="宋体" w:eastAsia="宋体" w:cs="宋体"/>
                <w:color w:val="000000"/>
                <w:kern w:val="0"/>
                <w:sz w:val="21"/>
                <w:szCs w:val="21"/>
                <w:highlight w:val="none"/>
              </w:rPr>
              <w:t>5.00 mL/min。</w:t>
            </w:r>
          </w:p>
          <w:p w14:paraId="340A330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2.2.3 最大耐压：≥35MPa（5000psi）</w:t>
            </w:r>
          </w:p>
          <w:p w14:paraId="0C20237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2.2.4 压力脉冲：&lt;1.0%</w:t>
            </w:r>
          </w:p>
          <w:p w14:paraId="255F554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2.2.5 具有泵前脱气功能，避免气泡进入后影响数据稳定性。</w:t>
            </w:r>
          </w:p>
          <w:p w14:paraId="42A3B4C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2.2.6 流量设定值误差：&lt;0.1%。</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需提供操作手册或计量院出具的报告作为证据。</w:t>
            </w:r>
          </w:p>
          <w:p w14:paraId="4A57DBC7">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2.2.7 流量稳定性：&lt;0.1%。</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需提供操作手册或计量院出具的报告作为证据。</w:t>
            </w:r>
          </w:p>
          <w:p w14:paraId="6CDAE3F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2.2.8▲ 配置淋洗液截止阀。</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需提供仪器操作手册中截止阀的仪器结构图。</w:t>
            </w:r>
          </w:p>
          <w:p w14:paraId="762E189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2.3离子色谱柱</w:t>
            </w:r>
          </w:p>
          <w:p w14:paraId="2435046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2.3.1 ▲色谱柱耐受0-14的pH工作范围，最大耐压≥3000psi，耐受流速≥2.0mL/min，柱容量≥200μeq/根。</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需提供色谱柱说明书截图。</w:t>
            </w:r>
          </w:p>
          <w:p w14:paraId="6C32027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2.3.2▲可兼容一针进样同时至少检测七种离子：氟、氯、溴、亚硝酸根、硝酸根、硫酸根、磷酸根，且一针样品分析时间不大于5分钟，七种离子均可达到基线分离，分离度均≥2.5</w:t>
            </w:r>
            <w:r>
              <w:rPr>
                <w:rFonts w:hint="eastAsia" w:ascii="宋体" w:hAnsi="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w:t>
            </w:r>
            <w:r>
              <w:rPr>
                <w:rFonts w:hint="eastAsia" w:ascii="宋体" w:hAnsi="宋体" w:eastAsia="宋体" w:cs="宋体"/>
                <w:b/>
                <w:bCs/>
                <w:color w:val="000000"/>
                <w:kern w:val="0"/>
                <w:sz w:val="21"/>
                <w:szCs w:val="21"/>
                <w:highlight w:val="none"/>
                <w:lang w:val="en-US" w:eastAsia="zh-CN"/>
              </w:rPr>
              <w:t>供</w:t>
            </w:r>
            <w:r>
              <w:rPr>
                <w:rFonts w:hint="eastAsia" w:ascii="宋体" w:hAnsi="宋体" w:eastAsia="宋体" w:cs="宋体"/>
                <w:b/>
                <w:bCs/>
                <w:color w:val="000000"/>
                <w:kern w:val="0"/>
                <w:sz w:val="21"/>
                <w:szCs w:val="21"/>
                <w:highlight w:val="none"/>
              </w:rPr>
              <w:t>实际分析色谱截图。</w:t>
            </w:r>
          </w:p>
          <w:p w14:paraId="54426DD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2.4柱温箱： </w:t>
            </w:r>
          </w:p>
          <w:p w14:paraId="5B2F005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2.4.1 设置范围：环境+5℃ - 60℃。</w:t>
            </w:r>
          </w:p>
          <w:p w14:paraId="7C1A70D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2.4.2 种类：原装内置柱温控制模块。</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需提供内置柱温箱照片。</w:t>
            </w:r>
          </w:p>
          <w:p w14:paraId="46D62F7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2.4.3 具有样品和淋洗液预加热功能。</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需提供预加热模块实物图片。</w:t>
            </w:r>
          </w:p>
          <w:p w14:paraId="1EE31F3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抑制器</w:t>
            </w:r>
          </w:p>
          <w:p w14:paraId="234E740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5</w:t>
            </w:r>
            <w:bookmarkStart w:id="1" w:name="_GoBack"/>
            <w:bookmarkEnd w:id="1"/>
            <w:r>
              <w:rPr>
                <w:rFonts w:hint="eastAsia" w:ascii="宋体" w:hAnsi="宋体" w:eastAsia="宋体" w:cs="宋体"/>
                <w:b/>
                <w:bCs/>
                <w:color w:val="000000"/>
                <w:kern w:val="0"/>
                <w:sz w:val="21"/>
                <w:szCs w:val="21"/>
                <w:highlight w:val="none"/>
              </w:rPr>
              <w:t>.1▲自动电解连续再生微膜抑制器，无需外加酸进行化学再生，无需使用蠕动泵或其他任何加液装置进行清洗和再生。</w:t>
            </w:r>
          </w:p>
          <w:p w14:paraId="2DE9865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.2抑制背景总电导小于5.0μS。</w:t>
            </w:r>
          </w:p>
          <w:p w14:paraId="1F39ED2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.3所有样品和标样均通过同一抑制器，且淋洗液与再生液通道完全独立。</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需提供操作手册截图。</w:t>
            </w:r>
          </w:p>
          <w:p w14:paraId="414219E5">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电导检测器</w:t>
            </w:r>
          </w:p>
          <w:p w14:paraId="0AFD075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.1类型：数字信号控制处理器，当检测μg/L级到g/L级不同浓度的离子时，输出信号可直接数字拓展，无需调整量程，输出值应为直接的电导信号，</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提供具有电导输出的色谱图。</w:t>
            </w:r>
          </w:p>
          <w:p w14:paraId="7FB7532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.2全程信号输出范围：0-18000 μS/cm。</w:t>
            </w:r>
          </w:p>
          <w:p w14:paraId="37FBC27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.3电导池控温范围： 环境+7℃ - 60℃。</w:t>
            </w:r>
          </w:p>
          <w:p w14:paraId="74BEB0E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6</w:t>
            </w:r>
            <w:r>
              <w:rPr>
                <w:rFonts w:hint="eastAsia" w:ascii="宋体" w:hAnsi="宋体" w:eastAsia="宋体" w:cs="宋体"/>
                <w:b/>
                <w:bCs/>
                <w:color w:val="000000"/>
                <w:kern w:val="0"/>
                <w:sz w:val="21"/>
                <w:szCs w:val="21"/>
                <w:highlight w:val="none"/>
              </w:rPr>
              <w:t>.4▲ 检测器分辨率：≤0.002nS/cm。</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需提供操作手册截图。</w:t>
            </w:r>
          </w:p>
          <w:p w14:paraId="575D931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6</w:t>
            </w:r>
            <w:r>
              <w:rPr>
                <w:rFonts w:hint="eastAsia" w:ascii="宋体" w:hAnsi="宋体" w:eastAsia="宋体" w:cs="宋体"/>
                <w:b/>
                <w:bCs/>
                <w:color w:val="000000"/>
                <w:kern w:val="0"/>
                <w:sz w:val="21"/>
                <w:szCs w:val="21"/>
                <w:highlight w:val="none"/>
              </w:rPr>
              <w:t>.5▲检测器耐受最大压力：≥8MPa。</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需提供操作手册截图。</w:t>
            </w:r>
          </w:p>
          <w:p w14:paraId="28E23475">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6</w:t>
            </w:r>
            <w:r>
              <w:rPr>
                <w:rFonts w:hint="eastAsia" w:ascii="宋体" w:hAnsi="宋体" w:eastAsia="宋体" w:cs="宋体"/>
                <w:b/>
                <w:bCs/>
                <w:color w:val="000000"/>
                <w:kern w:val="0"/>
                <w:sz w:val="21"/>
                <w:szCs w:val="21"/>
                <w:highlight w:val="none"/>
              </w:rPr>
              <w:t>.6▲信号采集频率：不低于90Hz，色谱图上显示的采集点数每秒不小于90个。</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提供仪器功能视频演示。</w:t>
            </w:r>
          </w:p>
          <w:p w14:paraId="4C6A899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在线电解淋洗液发生器</w:t>
            </w:r>
          </w:p>
          <w:p w14:paraId="76DA8EC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7</w:t>
            </w:r>
            <w:r>
              <w:rPr>
                <w:rFonts w:hint="eastAsia" w:ascii="宋体" w:hAnsi="宋体" w:eastAsia="宋体" w:cs="宋体"/>
                <w:b/>
                <w:bCs/>
                <w:color w:val="000000"/>
                <w:kern w:val="0"/>
                <w:sz w:val="21"/>
                <w:szCs w:val="21"/>
                <w:highlight w:val="none"/>
              </w:rPr>
              <w:t>.1▲淋洗液产生方式：利用电解产生的H+或OH-在线生成酸性或碱性淋洗液，而非通过加液单元进行不同溶液间的在线混合或稀释产生。</w:t>
            </w:r>
          </w:p>
          <w:p w14:paraId="7DC5BD3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.2洗液发生罐耐压≥5000 psi，兼容高压色谱柱。</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提供仪器功能视频演示。</w:t>
            </w:r>
          </w:p>
          <w:p w14:paraId="48D63E2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.3能提供等度和高压多步梯度淋洗。</w:t>
            </w:r>
          </w:p>
          <w:p w14:paraId="6253E64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7</w:t>
            </w:r>
            <w:r>
              <w:rPr>
                <w:rFonts w:hint="eastAsia" w:ascii="宋体" w:hAnsi="宋体" w:eastAsia="宋体" w:cs="宋体"/>
                <w:b/>
                <w:bCs/>
                <w:color w:val="000000"/>
                <w:kern w:val="0"/>
                <w:sz w:val="21"/>
                <w:szCs w:val="21"/>
                <w:highlight w:val="none"/>
              </w:rPr>
              <w:t>.4▲梯度产生曲率：1-9，任意数值可选。</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提供仪器功能视频演示。</w:t>
            </w:r>
          </w:p>
          <w:p w14:paraId="3744C7B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.5梯度产生：高压梯度，梯度产生在泵后高压区，梯度延迟体积小，梯度延迟时间短。</w:t>
            </w:r>
          </w:p>
          <w:p w14:paraId="00534F1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.6梯度精度：≤0.2%，</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需提供0.1-100mmol/L KOH缓慢变化的梯度色谱图及6针重复性谱图。</w:t>
            </w:r>
          </w:p>
          <w:p w14:paraId="0FC8180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.7梯度准确度：≤0.2%。</w:t>
            </w:r>
          </w:p>
          <w:p w14:paraId="415E353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7</w:t>
            </w:r>
            <w:r>
              <w:rPr>
                <w:rFonts w:hint="eastAsia" w:ascii="宋体" w:hAnsi="宋体" w:eastAsia="宋体" w:cs="宋体"/>
                <w:b/>
                <w:bCs/>
                <w:color w:val="000000"/>
                <w:kern w:val="0"/>
                <w:sz w:val="21"/>
                <w:szCs w:val="21"/>
                <w:highlight w:val="none"/>
              </w:rPr>
              <w:t>.8▲配置连续电解自动再生捕获柱，进一步净化淋洗液。</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需提供操作手册截图。</w:t>
            </w:r>
          </w:p>
          <w:p w14:paraId="4CBF152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.9配置高压自动脱气装置，进行淋洗液脱气。</w:t>
            </w:r>
          </w:p>
          <w:p w14:paraId="6C8ACDD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7</w:t>
            </w:r>
            <w:r>
              <w:rPr>
                <w:rFonts w:hint="eastAsia" w:ascii="宋体" w:hAnsi="宋体" w:eastAsia="宋体" w:cs="宋体"/>
                <w:b/>
                <w:bCs/>
                <w:color w:val="000000"/>
                <w:kern w:val="0"/>
                <w:sz w:val="21"/>
                <w:szCs w:val="21"/>
                <w:highlight w:val="none"/>
              </w:rPr>
              <w:t>.10▲能在软件中直接设置所需淋洗液浓度，而非编写百分比等其他非浓度参数。</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需提供软件控制截图。</w:t>
            </w:r>
          </w:p>
          <w:p w14:paraId="29822D9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自动进样器</w:t>
            </w:r>
          </w:p>
          <w:p w14:paraId="779A46D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u w:val="single"/>
              </w:rPr>
            </w:pPr>
            <w:r>
              <w:rPr>
                <w:rFonts w:hint="eastAsia" w:ascii="宋体" w:hAnsi="宋体" w:eastAsia="宋体" w:cs="宋体"/>
                <w:b/>
                <w:bCs/>
                <w:color w:val="000000"/>
                <w:kern w:val="0"/>
                <w:sz w:val="21"/>
                <w:szCs w:val="21"/>
                <w:highlight w:val="none"/>
                <w:u w:val="single"/>
              </w:rPr>
              <w:t>2.</w:t>
            </w:r>
            <w:r>
              <w:rPr>
                <w:rFonts w:hint="eastAsia" w:ascii="宋体" w:hAnsi="宋体" w:eastAsia="宋体" w:cs="宋体"/>
                <w:b/>
                <w:bCs/>
                <w:color w:val="000000"/>
                <w:kern w:val="0"/>
                <w:sz w:val="21"/>
                <w:szCs w:val="21"/>
                <w:highlight w:val="none"/>
                <w:u w:val="single"/>
                <w:lang w:val="en-US" w:eastAsia="zh-CN"/>
              </w:rPr>
              <w:t>8</w:t>
            </w:r>
            <w:r>
              <w:rPr>
                <w:rFonts w:hint="eastAsia" w:ascii="宋体" w:hAnsi="宋体" w:eastAsia="宋体" w:cs="宋体"/>
                <w:b/>
                <w:bCs/>
                <w:color w:val="000000"/>
                <w:kern w:val="0"/>
                <w:sz w:val="21"/>
                <w:szCs w:val="21"/>
                <w:highlight w:val="none"/>
                <w:u w:val="single"/>
              </w:rPr>
              <w:t xml:space="preserve">.1 </w:t>
            </w:r>
            <w:r>
              <w:rPr>
                <w:rFonts w:hint="eastAsia" w:ascii="宋体" w:hAnsi="宋体" w:cs="宋体"/>
                <w:b/>
                <w:bCs/>
                <w:color w:val="000000"/>
                <w:szCs w:val="21"/>
                <w:highlight w:val="none"/>
                <w:u w:val="single"/>
              </w:rPr>
              <w:t>★</w:t>
            </w:r>
            <w:r>
              <w:rPr>
                <w:rFonts w:hint="eastAsia" w:ascii="宋体" w:hAnsi="宋体" w:eastAsia="宋体" w:cs="宋体"/>
                <w:b/>
                <w:bCs/>
                <w:color w:val="000000"/>
                <w:kern w:val="0"/>
                <w:sz w:val="21"/>
                <w:szCs w:val="21"/>
                <w:highlight w:val="none"/>
                <w:u w:val="single"/>
              </w:rPr>
              <w:t>具有≥45个进样瓶物理位置，单个进样瓶体积≥5.0 mL，单个进样瓶单次最大进样体积≥4.5 mL，样品接触部含进样针均为PEEK非金属材质。</w:t>
            </w:r>
          </w:p>
          <w:p w14:paraId="62CBE3B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.2具有进样清洗位。</w:t>
            </w:r>
          </w:p>
          <w:p w14:paraId="1DB66367">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.3上样速度：0.1-5.0 mL/min。</w:t>
            </w:r>
          </w:p>
          <w:p w14:paraId="71FF08A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.4进样器可耐压≥100psi。</w:t>
            </w:r>
          </w:p>
          <w:p w14:paraId="2182678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.5 自动进样器带有样品盘保护罩，降低外界环境对样品的影响。</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需提供操作手册截图。</w:t>
            </w:r>
          </w:p>
          <w:p w14:paraId="550D3DC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.6 样品瓶带有单独的过滤芯瓶盖，可自动过滤样品中的颗粒物。或配置在线过滤装置，且提供100片以上在线过滤滤膜。</w:t>
            </w:r>
          </w:p>
          <w:p w14:paraId="763A038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软件</w:t>
            </w:r>
          </w:p>
          <w:p w14:paraId="0392EE3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.1 全中文操作控制软件，可生成全中文数据报告；修改色谱图、校正曲线后即可实时动态数据更新；可以对样品信息进行自定义搜索，快速查询数据。</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需提供软件该功能截图。</w:t>
            </w:r>
          </w:p>
          <w:p w14:paraId="2ECEC57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.2 可输出PDF、EXCEL、cmbx、AnDI、txt等格式数据，方便数据读取和传输。</w:t>
            </w:r>
            <w:r>
              <w:rPr>
                <w:rFonts w:hint="eastAsia" w:ascii="宋体" w:hAnsi="宋体" w:eastAsia="宋体" w:cs="宋体"/>
                <w:color w:val="000000"/>
                <w:kern w:val="0"/>
                <w:sz w:val="21"/>
                <w:szCs w:val="21"/>
                <w:highlight w:val="none"/>
                <w:lang w:val="en-US" w:eastAsia="zh-CN"/>
              </w:rPr>
              <w:t>响应时</w:t>
            </w:r>
            <w:r>
              <w:rPr>
                <w:rFonts w:hint="eastAsia" w:ascii="宋体" w:hAnsi="宋体" w:eastAsia="宋体" w:cs="宋体"/>
                <w:color w:val="000000"/>
                <w:kern w:val="0"/>
                <w:sz w:val="21"/>
                <w:szCs w:val="21"/>
                <w:highlight w:val="none"/>
              </w:rPr>
              <w:t>需提供软件该功能截图。</w:t>
            </w:r>
          </w:p>
          <w:p w14:paraId="4D5C3C7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w:t>
            </w:r>
            <w:r>
              <w:rPr>
                <w:rFonts w:hint="eastAsia" w:ascii="宋体" w:hAnsi="宋体" w:eastAsia="宋体" w:cs="宋体"/>
                <w:b/>
                <w:bCs/>
                <w:color w:val="000000"/>
                <w:kern w:val="0"/>
                <w:sz w:val="21"/>
                <w:szCs w:val="21"/>
                <w:highlight w:val="none"/>
                <w:lang w:val="en-US" w:eastAsia="zh-CN"/>
              </w:rPr>
              <w:t>9</w:t>
            </w:r>
            <w:r>
              <w:rPr>
                <w:rFonts w:hint="eastAsia" w:ascii="宋体" w:hAnsi="宋体" w:eastAsia="宋体" w:cs="宋体"/>
                <w:b/>
                <w:bCs/>
                <w:color w:val="000000"/>
                <w:kern w:val="0"/>
                <w:sz w:val="21"/>
                <w:szCs w:val="21"/>
                <w:highlight w:val="none"/>
              </w:rPr>
              <w:t>.3 ▲软件可同时控制</w:t>
            </w:r>
            <w:r>
              <w:rPr>
                <w:rFonts w:hint="eastAsia" w:ascii="宋体" w:hAnsi="宋体" w:cs="宋体"/>
                <w:b/>
                <w:bCs/>
                <w:color w:val="000000"/>
                <w:kern w:val="0"/>
                <w:sz w:val="21"/>
                <w:szCs w:val="21"/>
                <w:highlight w:val="none"/>
                <w:lang w:val="en-US" w:eastAsia="zh-CN"/>
              </w:rPr>
              <w:t>同品牌</w:t>
            </w:r>
            <w:r>
              <w:rPr>
                <w:rFonts w:hint="eastAsia" w:ascii="宋体" w:hAnsi="宋体" w:eastAsia="宋体" w:cs="宋体"/>
                <w:b/>
                <w:bCs/>
                <w:color w:val="000000"/>
                <w:kern w:val="0"/>
                <w:sz w:val="21"/>
                <w:szCs w:val="21"/>
                <w:highlight w:val="none"/>
              </w:rPr>
              <w:t>离子色谱、气相色谱、液相色谱、质谱检测器。</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提供仪器功能视频演示。</w:t>
            </w:r>
          </w:p>
          <w:p w14:paraId="1007750F">
            <w:pPr>
              <w:pStyle w:val="2"/>
              <w:widowControl/>
              <w:suppressLineNumbers w:val="0"/>
              <w:spacing w:before="0" w:beforeAutospacing="0" w:after="0" w:afterAutospacing="0"/>
              <w:ind w:left="0" w:right="0"/>
              <w:jc w:val="left"/>
              <w:rPr>
                <w:rFonts w:hint="eastAsia" w:ascii="宋体" w:hAnsi="宋体" w:eastAsia="宋体" w:cs="宋体"/>
                <w:color w:val="000000"/>
                <w:kern w:val="0"/>
                <w:sz w:val="21"/>
                <w:szCs w:val="21"/>
                <w:highlight w:val="none"/>
                <w:lang w:val="en-US" w:eastAsia="zh-CN"/>
              </w:rPr>
            </w:pPr>
            <w:r>
              <w:rPr>
                <w:rFonts w:hint="eastAsia" w:hAnsi="宋体" w:cs="宋体"/>
                <w:b/>
                <w:bCs/>
                <w:color w:val="000000"/>
                <w:kern w:val="0"/>
                <w:sz w:val="21"/>
                <w:szCs w:val="21"/>
                <w:highlight w:val="none"/>
                <w:lang w:val="en-US" w:eastAsia="zh-CN"/>
              </w:rPr>
              <w:t>2.10</w:t>
            </w:r>
            <w:r>
              <w:rPr>
                <w:rFonts w:hint="eastAsia" w:ascii="宋体" w:hAnsi="宋体" w:eastAsia="宋体" w:cs="宋体"/>
                <w:color w:val="000000"/>
                <w:kern w:val="0"/>
                <w:sz w:val="21"/>
                <w:szCs w:val="21"/>
                <w:highlight w:val="none"/>
                <w:lang w:val="en-US" w:eastAsia="zh-CN"/>
              </w:rPr>
              <w:t>设备系统控制终端</w:t>
            </w:r>
            <w:r>
              <w:rPr>
                <w:rFonts w:hint="eastAsia" w:ascii="宋体" w:hAnsi="宋体" w:eastAsia="宋体" w:cs="宋体"/>
                <w:color w:val="000000"/>
                <w:kern w:val="0"/>
                <w:sz w:val="21"/>
                <w:szCs w:val="21"/>
                <w:highlight w:val="none"/>
              </w:rPr>
              <w:t>及</w:t>
            </w:r>
            <w:r>
              <w:rPr>
                <w:rFonts w:hint="eastAsia" w:ascii="宋体" w:hAnsi="宋体" w:eastAsia="宋体" w:cs="宋体"/>
                <w:color w:val="000000"/>
                <w:kern w:val="0"/>
                <w:sz w:val="21"/>
                <w:szCs w:val="21"/>
                <w:highlight w:val="none"/>
                <w:lang w:val="en-US" w:eastAsia="zh-CN"/>
              </w:rPr>
              <w:t>数据纸质报告输出终端</w:t>
            </w:r>
          </w:p>
          <w:p w14:paraId="7278B252">
            <w:pPr>
              <w:pStyle w:val="2"/>
              <w:widowControl/>
              <w:suppressLineNumbers w:val="0"/>
              <w:spacing w:before="0" w:beforeAutospacing="0" w:after="0" w:afterAutospacing="0"/>
              <w:ind w:left="0" w:right="0"/>
              <w:jc w:val="left"/>
              <w:rPr>
                <w:rFonts w:hint="eastAsia" w:hAnsi="宋体" w:cs="宋体"/>
                <w:color w:val="000000"/>
                <w:kern w:val="0"/>
                <w:sz w:val="21"/>
                <w:szCs w:val="21"/>
                <w:highlight w:val="none"/>
                <w:lang w:val="en-US" w:eastAsia="zh-CN"/>
              </w:rPr>
            </w:pPr>
            <w:r>
              <w:rPr>
                <w:rFonts w:hint="eastAsia" w:hAnsi="宋体" w:cs="宋体"/>
                <w:color w:val="000000"/>
                <w:kern w:val="0"/>
                <w:sz w:val="21"/>
                <w:szCs w:val="21"/>
                <w:highlight w:val="none"/>
                <w:lang w:val="en-US" w:eastAsia="zh-CN"/>
              </w:rPr>
              <w:t>2.10.1</w:t>
            </w:r>
            <w:r>
              <w:rPr>
                <w:rFonts w:hint="eastAsia" w:ascii="宋体" w:hAnsi="宋体" w:eastAsia="宋体" w:cs="宋体"/>
                <w:color w:val="000000"/>
                <w:kern w:val="0"/>
                <w:sz w:val="21"/>
                <w:szCs w:val="21"/>
                <w:highlight w:val="none"/>
                <w:lang w:val="en-US" w:eastAsia="zh-CN"/>
              </w:rPr>
              <w:t>设备系统控制终</w:t>
            </w:r>
            <w:r>
              <w:rPr>
                <w:rFonts w:hint="eastAsia" w:ascii="宋体" w:hAnsi="宋体" w:eastAsia="宋体" w:cs="宋体"/>
                <w:color w:val="auto"/>
                <w:kern w:val="0"/>
                <w:sz w:val="21"/>
                <w:szCs w:val="21"/>
                <w:highlight w:val="none"/>
                <w:lang w:val="en-US" w:eastAsia="zh-CN"/>
              </w:rPr>
              <w:t>端</w:t>
            </w:r>
            <w:r>
              <w:rPr>
                <w:rFonts w:hint="eastAsia" w:hAnsi="宋体" w:cs="宋体"/>
                <w:color w:val="auto"/>
                <w:kern w:val="0"/>
                <w:sz w:val="21"/>
                <w:szCs w:val="21"/>
                <w:highlight w:val="none"/>
                <w:lang w:val="en-US" w:eastAsia="zh-CN"/>
              </w:rPr>
              <w:t>（同等或优于以下）：</w:t>
            </w:r>
            <w:r>
              <w:rPr>
                <w:rFonts w:hint="eastAsia" w:hAnsi="宋体" w:cs="宋体"/>
                <w:color w:val="auto"/>
                <w:sz w:val="21"/>
                <w:szCs w:val="21"/>
                <w:highlight w:val="none"/>
              </w:rPr>
              <w:t>CPU</w:t>
            </w:r>
            <w:r>
              <w:rPr>
                <w:rFonts w:hint="eastAsia" w:hAnsi="宋体" w:cs="宋体"/>
                <w:color w:val="auto"/>
                <w:sz w:val="21"/>
                <w:szCs w:val="21"/>
                <w:highlight w:val="none"/>
                <w:lang w:eastAsia="zh-CN"/>
              </w:rPr>
              <w:t>：</w:t>
            </w:r>
            <w:r>
              <w:rPr>
                <w:rFonts w:hint="eastAsia" w:hAnsi="宋体" w:cs="宋体"/>
                <w:color w:val="auto"/>
                <w:sz w:val="21"/>
                <w:szCs w:val="21"/>
                <w:highlight w:val="none"/>
              </w:rPr>
              <w:t>16核 I7</w:t>
            </w:r>
            <w:r>
              <w:rPr>
                <w:rFonts w:hint="eastAsia" w:hAnsi="宋体" w:cs="宋体"/>
                <w:color w:val="auto"/>
                <w:sz w:val="21"/>
                <w:szCs w:val="21"/>
                <w:highlight w:val="none"/>
                <w:lang w:eastAsia="zh-CN"/>
              </w:rPr>
              <w:t>；</w:t>
            </w:r>
            <w:r>
              <w:rPr>
                <w:rFonts w:hint="eastAsia" w:hAnsi="宋体" w:cs="宋体"/>
                <w:color w:val="auto"/>
                <w:sz w:val="21"/>
                <w:szCs w:val="21"/>
                <w:highlight w:val="none"/>
              </w:rPr>
              <w:t>显卡</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显存不低于4G</w:t>
            </w: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 运行内存</w:t>
            </w:r>
            <w:r>
              <w:rPr>
                <w:rFonts w:hint="eastAsia" w:hAnsi="宋体" w:cs="宋体"/>
                <w:color w:val="auto"/>
                <w:sz w:val="21"/>
                <w:szCs w:val="21"/>
                <w:highlight w:val="none"/>
                <w:lang w:eastAsia="zh-CN"/>
              </w:rPr>
              <w:t>：</w:t>
            </w:r>
            <w:r>
              <w:rPr>
                <w:rFonts w:hint="eastAsia" w:hAnsi="宋体" w:cs="宋体"/>
                <w:color w:val="auto"/>
                <w:sz w:val="21"/>
                <w:szCs w:val="21"/>
                <w:highlight w:val="none"/>
              </w:rPr>
              <w:t>不低于32G</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硬盘：≥</w:t>
            </w:r>
            <w:r>
              <w:rPr>
                <w:rFonts w:hint="eastAsia" w:hAnsi="宋体" w:cs="宋体"/>
                <w:color w:val="auto"/>
                <w:sz w:val="21"/>
                <w:szCs w:val="21"/>
                <w:highlight w:val="none"/>
              </w:rPr>
              <w:t>1TB固态硬盘</w:t>
            </w:r>
            <w:r>
              <w:rPr>
                <w:rFonts w:hint="eastAsia" w:hAnsi="宋体" w:cs="宋体"/>
                <w:color w:val="auto"/>
                <w:sz w:val="21"/>
                <w:szCs w:val="21"/>
                <w:highlight w:val="none"/>
                <w:lang w:val="en-US" w:eastAsia="zh-CN"/>
              </w:rPr>
              <w:t>及≥</w:t>
            </w:r>
            <w:r>
              <w:rPr>
                <w:rFonts w:hint="eastAsia" w:hAnsi="宋体" w:cs="宋体"/>
                <w:color w:val="auto"/>
                <w:sz w:val="21"/>
                <w:szCs w:val="21"/>
                <w:highlight w:val="none"/>
              </w:rPr>
              <w:t>2TB机械硬盘</w:t>
            </w:r>
            <w:r>
              <w:rPr>
                <w:rFonts w:hint="eastAsia" w:hAnsi="宋体" w:cs="宋体"/>
                <w:color w:val="000000"/>
                <w:sz w:val="21"/>
                <w:szCs w:val="21"/>
                <w:highlight w:val="none"/>
              </w:rPr>
              <w:t>；显示器尺寸：不低于24英寸，带原装正版的操作系统、正版办公软件（包含文字、表格处理软件等）、分析软件包（包括：本机运行控制软件；数据采集、分析、储存及定性定量分析）。</w:t>
            </w:r>
          </w:p>
          <w:p w14:paraId="54B1D89E">
            <w:pPr>
              <w:pStyle w:val="2"/>
              <w:widowControl/>
              <w:suppressLineNumbers w:val="0"/>
              <w:spacing w:before="0" w:beforeAutospacing="0" w:after="0" w:afterAutospacing="0"/>
              <w:ind w:left="0" w:right="0"/>
              <w:jc w:val="left"/>
              <w:rPr>
                <w:rFonts w:hint="eastAsia" w:hAnsi="宋体" w:cs="宋体"/>
                <w:color w:val="000000"/>
                <w:kern w:val="0"/>
                <w:sz w:val="21"/>
                <w:szCs w:val="21"/>
                <w:highlight w:val="none"/>
                <w:lang w:val="en-US" w:eastAsia="zh-CN"/>
              </w:rPr>
            </w:pPr>
            <w:r>
              <w:rPr>
                <w:rFonts w:hint="eastAsia" w:hAnsi="宋体" w:cs="宋体"/>
                <w:color w:val="000000"/>
                <w:kern w:val="0"/>
                <w:sz w:val="21"/>
                <w:szCs w:val="21"/>
                <w:highlight w:val="none"/>
                <w:lang w:val="en-US" w:eastAsia="zh-CN"/>
              </w:rPr>
              <w:t>2.10.2</w:t>
            </w:r>
            <w:r>
              <w:rPr>
                <w:rFonts w:hint="eastAsia" w:ascii="宋体" w:hAnsi="宋体" w:eastAsia="宋体" w:cs="宋体"/>
                <w:color w:val="000000"/>
                <w:kern w:val="0"/>
                <w:sz w:val="21"/>
                <w:szCs w:val="21"/>
                <w:highlight w:val="none"/>
                <w:lang w:val="en-US" w:eastAsia="zh-CN"/>
              </w:rPr>
              <w:t>数据纸质报告输出终端</w:t>
            </w:r>
            <w:r>
              <w:rPr>
                <w:rFonts w:hint="eastAsia" w:hAnsi="宋体" w:cs="宋体"/>
                <w:color w:val="000000"/>
                <w:kern w:val="0"/>
                <w:sz w:val="21"/>
                <w:szCs w:val="21"/>
                <w:highlight w:val="none"/>
                <w:lang w:val="en-US" w:eastAsia="zh-CN"/>
              </w:rPr>
              <w:t>：</w:t>
            </w:r>
            <w:r>
              <w:rPr>
                <w:rFonts w:hint="default"/>
                <w:sz w:val="21"/>
                <w:szCs w:val="20"/>
              </w:rPr>
              <w:t>具有激光双面输出功能。</w:t>
            </w:r>
          </w:p>
          <w:p w14:paraId="0CBE1861">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3.配置清单 </w:t>
            </w:r>
          </w:p>
          <w:p w14:paraId="68051DB7">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3.1离子色谱主机一台</w:t>
            </w:r>
          </w:p>
          <w:p w14:paraId="692AAAA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3.2在线淋洗液发生装置一套</w:t>
            </w:r>
          </w:p>
          <w:p w14:paraId="0A2D77F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 KOH淋洗液罐一套</w:t>
            </w:r>
          </w:p>
          <w:p w14:paraId="6965A0A5">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 氢氧根体系阴离子色谱柱一套</w:t>
            </w:r>
          </w:p>
          <w:p w14:paraId="1CDF142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 电解膜抑制器一套</w:t>
            </w:r>
          </w:p>
          <w:p w14:paraId="11FA4F4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3.6自动进样器一套</w:t>
            </w:r>
          </w:p>
          <w:p w14:paraId="45A26F1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3.7 常规耗材包一套</w:t>
            </w:r>
          </w:p>
          <w:p w14:paraId="79B3971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3.8 柱温箱一套</w:t>
            </w:r>
          </w:p>
          <w:p w14:paraId="2040990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default"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3.9</w:t>
            </w:r>
            <w:r>
              <w:rPr>
                <w:rFonts w:hint="eastAsia" w:ascii="宋体" w:hAnsi="宋体" w:eastAsia="宋体" w:cs="宋体"/>
                <w:color w:val="000000"/>
                <w:kern w:val="0"/>
                <w:sz w:val="21"/>
                <w:szCs w:val="21"/>
                <w:highlight w:val="none"/>
                <w:lang w:val="en-US" w:eastAsia="zh-CN"/>
              </w:rPr>
              <w:t>设备系统控制终端</w:t>
            </w:r>
            <w:r>
              <w:rPr>
                <w:rFonts w:hint="eastAsia" w:ascii="宋体" w:hAnsi="宋体" w:cs="宋体"/>
                <w:color w:val="000000"/>
                <w:kern w:val="0"/>
                <w:sz w:val="21"/>
                <w:szCs w:val="21"/>
                <w:highlight w:val="none"/>
                <w:lang w:val="en-US" w:eastAsia="zh-CN"/>
              </w:rPr>
              <w:t>（</w:t>
            </w:r>
            <w:r>
              <w:rPr>
                <w:rFonts w:hint="default"/>
                <w:color w:val="000000"/>
                <w:sz w:val="21"/>
                <w:szCs w:val="20"/>
              </w:rPr>
              <w:t>含硬件、正版操作系统、正版办公软件等及配套仪器工作软件）</w:t>
            </w:r>
            <w:r>
              <w:rPr>
                <w:rFonts w:hint="eastAsia" w:ascii="宋体" w:hAnsi="宋体" w:eastAsia="宋体" w:cs="宋体"/>
                <w:color w:val="000000"/>
                <w:kern w:val="0"/>
                <w:sz w:val="21"/>
                <w:szCs w:val="21"/>
                <w:highlight w:val="none"/>
              </w:rPr>
              <w:t>及</w:t>
            </w:r>
            <w:r>
              <w:rPr>
                <w:rFonts w:hint="eastAsia" w:ascii="宋体" w:hAnsi="宋体" w:eastAsia="宋体" w:cs="宋体"/>
                <w:color w:val="000000"/>
                <w:kern w:val="0"/>
                <w:sz w:val="21"/>
                <w:szCs w:val="21"/>
                <w:highlight w:val="none"/>
                <w:lang w:val="en-US" w:eastAsia="zh-CN"/>
              </w:rPr>
              <w:t>数据纸质报告输出终端各</w:t>
            </w:r>
            <w:r>
              <w:rPr>
                <w:rFonts w:hint="eastAsia" w:ascii="宋体" w:hAnsi="宋体" w:eastAsia="宋体" w:cs="宋体"/>
                <w:color w:val="000000"/>
                <w:kern w:val="0"/>
                <w:sz w:val="21"/>
                <w:szCs w:val="21"/>
                <w:highlight w:val="none"/>
              </w:rPr>
              <w:t>一套</w:t>
            </w:r>
          </w:p>
        </w:tc>
      </w:tr>
      <w:tr w14:paraId="62AC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14:paraId="796D23B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2557" w:type="dxa"/>
            <w:shd w:val="clear" w:color="auto" w:fill="auto"/>
            <w:vAlign w:val="center"/>
          </w:tcPr>
          <w:p w14:paraId="5D9D857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lang w:val="en-US" w:eastAsia="zh-CN" w:bidi="ar"/>
              </w:rPr>
              <w:t>全自动智能蒸馏仪</w:t>
            </w:r>
          </w:p>
        </w:tc>
        <w:tc>
          <w:tcPr>
            <w:tcW w:w="5916" w:type="dxa"/>
            <w:shd w:val="clear" w:color="auto" w:fill="auto"/>
            <w:vAlign w:val="center"/>
          </w:tcPr>
          <w:p w14:paraId="340195D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1.设备总体要求 </w:t>
            </w:r>
          </w:p>
          <w:p w14:paraId="16E48FA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u w:val="single"/>
              </w:rPr>
            </w:pPr>
            <w:r>
              <w:rPr>
                <w:rFonts w:hint="eastAsia" w:ascii="宋体" w:hAnsi="宋体" w:eastAsia="宋体" w:cs="宋体"/>
                <w:b/>
                <w:bCs/>
                <w:color w:val="000000"/>
                <w:kern w:val="0"/>
                <w:sz w:val="21"/>
                <w:szCs w:val="21"/>
                <w:highlight w:val="none"/>
                <w:u w:val="single"/>
              </w:rPr>
              <w:t xml:space="preserve">★适用于检测水样中挥发酚、氰化物、氨氮、硫化物等项目的蒸馏预处理，仪器能完全满足《水质 挥发酚的测定 4-氨基安替比林分光光度法》（ HJ 503-2009） 、《水质氰化物的测定 容量法和分光光度法》（HJ 484—2009）、《水质氨氮的测定纳氏试剂分光光度法》（HJ 535-2009）、《水质氨氮的测定水杨酸分光光度法》（HJ 536-2009）及《水质硫化物的测定亚甲基蓝分光光度法》（HJ1226-2021）关于测量仪器的要求，且回收率≥98％。 </w:t>
            </w:r>
          </w:p>
          <w:p w14:paraId="07E68BB5">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2.技术指标要求 </w:t>
            </w:r>
          </w:p>
          <w:p w14:paraId="11B84F10">
            <w:r>
              <w:rPr>
                <w:rFonts w:hint="eastAsia" w:ascii="宋体" w:hAnsi="宋体" w:eastAsia="宋体" w:cs="宋体"/>
                <w:b/>
                <w:bCs/>
                <w:color w:val="000000"/>
                <w:kern w:val="0"/>
                <w:sz w:val="21"/>
                <w:szCs w:val="21"/>
                <w:highlight w:val="none"/>
                <w:u w:val="none"/>
              </w:rPr>
              <w:t>2.1▲外形尺寸</w:t>
            </w:r>
            <w:r>
              <w:rPr>
                <w:rFonts w:hint="eastAsia" w:ascii="宋体" w:hAnsi="宋体" w:cs="宋体"/>
                <w:b/>
                <w:bCs/>
                <w:color w:val="000000"/>
                <w:kern w:val="0"/>
                <w:sz w:val="21"/>
                <w:szCs w:val="21"/>
                <w:highlight w:val="none"/>
                <w:u w:val="none"/>
                <w:lang w:eastAsia="zh-CN"/>
              </w:rPr>
              <w:t>（</w:t>
            </w:r>
            <w:r>
              <w:rPr>
                <w:rFonts w:hint="eastAsia" w:ascii="宋体" w:hAnsi="宋体" w:eastAsia="宋体" w:cs="宋体"/>
                <w:b/>
                <w:bCs/>
                <w:color w:val="000000"/>
                <w:kern w:val="0"/>
                <w:sz w:val="21"/>
                <w:szCs w:val="21"/>
                <w:highlight w:val="none"/>
                <w:u w:val="none"/>
              </w:rPr>
              <w:t>mm</w:t>
            </w:r>
            <w:r>
              <w:rPr>
                <w:rFonts w:hint="eastAsia" w:ascii="宋体" w:hAnsi="宋体" w:cs="宋体"/>
                <w:b/>
                <w:bCs/>
                <w:color w:val="000000"/>
                <w:kern w:val="0"/>
                <w:sz w:val="21"/>
                <w:szCs w:val="21"/>
                <w:highlight w:val="none"/>
                <w:u w:val="none"/>
                <w:lang w:eastAsia="zh-CN"/>
              </w:rPr>
              <w:t>）</w:t>
            </w:r>
            <w:r>
              <w:rPr>
                <w:rFonts w:hint="eastAsia" w:ascii="宋体" w:hAnsi="宋体" w:eastAsia="宋体" w:cs="宋体"/>
                <w:b/>
                <w:bCs/>
                <w:color w:val="000000"/>
                <w:kern w:val="0"/>
                <w:sz w:val="21"/>
                <w:szCs w:val="21"/>
                <w:highlight w:val="none"/>
                <w:u w:val="none"/>
              </w:rPr>
              <w:t>：≤1000（长）×500（宽）×950（高）</w:t>
            </w:r>
          </w:p>
          <w:p w14:paraId="79AAE74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2.2 加热系统无明火加热，防水，升温时间小于 8 分钟； </w:t>
            </w:r>
          </w:p>
          <w:p w14:paraId="40DD3BC7">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2.3▲配</w:t>
            </w:r>
            <w:r>
              <w:rPr>
                <w:rFonts w:hint="eastAsia" w:ascii="宋体" w:hAnsi="宋体" w:eastAsia="宋体" w:cs="宋体"/>
                <w:b/>
                <w:bCs/>
                <w:color w:val="000000"/>
                <w:kern w:val="0"/>
                <w:sz w:val="21"/>
                <w:szCs w:val="21"/>
                <w:highlight w:val="none"/>
                <w:u w:val="single"/>
              </w:rPr>
              <w:t>≥</w:t>
            </w:r>
            <w:r>
              <w:rPr>
                <w:rFonts w:hint="eastAsia" w:ascii="宋体" w:hAnsi="宋体" w:eastAsia="宋体" w:cs="宋体"/>
                <w:b/>
                <w:bCs/>
                <w:color w:val="000000"/>
                <w:kern w:val="0"/>
                <w:sz w:val="21"/>
                <w:szCs w:val="21"/>
                <w:highlight w:val="none"/>
              </w:rPr>
              <w:t xml:space="preserve">6个加热位，各加热位可单独控制加热，且单孔加热功率可调； </w:t>
            </w:r>
          </w:p>
          <w:p w14:paraId="24AB2A7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2.4▲设有微沸和全沸两种操作模式，以适应不同加热需求；（</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需提供实际开机演示图）</w:t>
            </w:r>
          </w:p>
          <w:p w14:paraId="05B6D441">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2.5 冷凝管与蒸馏烧瓶采用全玻连接，连接处采用磨口； </w:t>
            </w:r>
          </w:p>
          <w:p w14:paraId="552081B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2.6一键式水箱加水，具有满水自动停止及缺水自动补水功能，实时显示水位状态。</w:t>
            </w:r>
          </w:p>
          <w:p w14:paraId="2299FB4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2.7采用封闭式内循环回流系统，无需外接冷却水源，冷却水温度可调； </w:t>
            </w:r>
          </w:p>
          <w:p w14:paraId="013DE65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2.8 内置仿真空电磁阀自动识别瓶内压力，具防倒吸功能； </w:t>
            </w:r>
          </w:p>
          <w:p w14:paraId="3179BD8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2.9接收瓶托盘可调节，能适应多种规格的接收瓶； </w:t>
            </w:r>
          </w:p>
          <w:p w14:paraId="2E7A44B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2.10▲实验结束后可对冷凝管实现单路单独清洗或一键反吹冲洗功能，无需拆卸。（</w:t>
            </w:r>
            <w:r>
              <w:rPr>
                <w:rFonts w:hint="eastAsia" w:ascii="宋体" w:hAnsi="宋体" w:eastAsia="宋体" w:cs="宋体"/>
                <w:b/>
                <w:bCs/>
                <w:color w:val="000000"/>
                <w:kern w:val="0"/>
                <w:sz w:val="21"/>
                <w:szCs w:val="21"/>
                <w:highlight w:val="none"/>
                <w:lang w:val="en-US" w:eastAsia="zh-CN"/>
              </w:rPr>
              <w:t>响应时</w:t>
            </w:r>
            <w:r>
              <w:rPr>
                <w:rFonts w:hint="eastAsia" w:ascii="宋体" w:hAnsi="宋体" w:eastAsia="宋体" w:cs="宋体"/>
                <w:b/>
                <w:bCs/>
                <w:color w:val="000000"/>
                <w:kern w:val="0"/>
                <w:sz w:val="21"/>
                <w:szCs w:val="21"/>
                <w:highlight w:val="none"/>
              </w:rPr>
              <w:t>需提供实际开机演示图）</w:t>
            </w:r>
          </w:p>
          <w:p w14:paraId="6A9821B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2.11 蒸馏瓶规格为 500ml；接收瓶可用多规格接收器，如容量瓶、锥形瓶和量筒等； </w:t>
            </w:r>
          </w:p>
          <w:p w14:paraId="74B4B5A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u w:val="single"/>
              </w:rPr>
            </w:pPr>
            <w:r>
              <w:rPr>
                <w:rFonts w:hint="eastAsia" w:ascii="宋体" w:hAnsi="宋体" w:eastAsia="宋体" w:cs="宋体"/>
                <w:b/>
                <w:bCs/>
                <w:color w:val="000000"/>
                <w:kern w:val="0"/>
                <w:sz w:val="21"/>
                <w:szCs w:val="21"/>
                <w:highlight w:val="none"/>
                <w:u w:val="single"/>
              </w:rPr>
              <w:t xml:space="preserve">2.12★采用压力称重传感器控制蒸馏终点，可任意设置蒸馏体积重量，自动停止加热，实现无人监管自动完成蒸馏作业，防止过量蒸馏； </w:t>
            </w:r>
          </w:p>
          <w:p w14:paraId="710245D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3.配置清单 </w:t>
            </w:r>
          </w:p>
          <w:p w14:paraId="15022E61">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3.1 主机一台； </w:t>
            </w:r>
          </w:p>
          <w:p w14:paraId="141D30E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3.2 500mL 蒸馏瓶、玻璃冷凝管、250mL 容量瓶、蒸馏仪称重底座、冷凝管固定夹各 6 套或以上，软管若干。</w:t>
            </w:r>
          </w:p>
        </w:tc>
      </w:tr>
      <w:tr w14:paraId="5E28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14:paraId="244B6B01">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2557" w:type="dxa"/>
            <w:shd w:val="clear" w:color="auto" w:fill="auto"/>
            <w:vAlign w:val="center"/>
          </w:tcPr>
          <w:p w14:paraId="560A944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耐腐蚀</w:t>
            </w:r>
            <w:r>
              <w:rPr>
                <w:rFonts w:hint="eastAsia" w:ascii="宋体" w:hAnsi="宋体" w:eastAsia="宋体" w:cs="宋体"/>
                <w:b/>
                <w:bCs/>
                <w:kern w:val="0"/>
                <w:sz w:val="21"/>
                <w:szCs w:val="21"/>
                <w:highlight w:val="none"/>
                <w:lang w:val="zh-CN"/>
              </w:rPr>
              <w:t>电热板</w:t>
            </w:r>
          </w:p>
        </w:tc>
        <w:tc>
          <w:tcPr>
            <w:tcW w:w="5916" w:type="dxa"/>
            <w:shd w:val="clear" w:color="auto" w:fill="auto"/>
            <w:vAlign w:val="center"/>
          </w:tcPr>
          <w:p w14:paraId="5BFA42F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1、主要用途：用于无机化学元素分析过程样品前处理的消解。</w:t>
            </w:r>
          </w:p>
          <w:p w14:paraId="3E934F0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2.技术指标要求 </w:t>
            </w:r>
          </w:p>
          <w:p w14:paraId="37CBDB2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2.1▲电热板台面采用玻璃陶瓷材质，耐化学腐蚀、耐磨损、表面光滑易清洁；</w:t>
            </w:r>
          </w:p>
          <w:p w14:paraId="7A31C91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2.2电热板台面尺寸≥500mm（长）</w:t>
            </w:r>
            <w:r>
              <w:rPr>
                <w:rFonts w:hint="eastAsia" w:ascii="宋体" w:hAnsi="宋体" w:eastAsia="宋体" w:cs="宋体"/>
                <w:b/>
                <w:bCs/>
                <w:color w:val="000000"/>
                <w:kern w:val="0"/>
                <w:sz w:val="21"/>
                <w:szCs w:val="21"/>
                <w:highlight w:val="none"/>
                <w:u w:val="none"/>
              </w:rPr>
              <w:t>×</w:t>
            </w:r>
            <w:r>
              <w:rPr>
                <w:rFonts w:hint="eastAsia" w:ascii="宋体" w:hAnsi="宋体" w:eastAsia="宋体" w:cs="宋体"/>
                <w:color w:val="000000"/>
                <w:kern w:val="0"/>
                <w:sz w:val="21"/>
                <w:szCs w:val="21"/>
                <w:highlight w:val="none"/>
              </w:rPr>
              <w:t>400mm（宽）；</w:t>
            </w:r>
          </w:p>
          <w:p w14:paraId="5A2BDFE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2.3机身厚度≤90mm；</w:t>
            </w:r>
          </w:p>
          <w:p w14:paraId="0B69D44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u w:val="single"/>
              </w:rPr>
            </w:pPr>
            <w:r>
              <w:rPr>
                <w:rFonts w:hint="eastAsia" w:ascii="宋体" w:hAnsi="宋体" w:eastAsia="宋体" w:cs="宋体"/>
                <w:b/>
                <w:bCs/>
                <w:color w:val="000000"/>
                <w:kern w:val="0"/>
                <w:sz w:val="21"/>
                <w:szCs w:val="21"/>
                <w:highlight w:val="none"/>
                <w:u w:val="single"/>
              </w:rPr>
              <w:t>2.4★控温范围为室温至400℃，最高升温速率每分钟30℃以上；</w:t>
            </w:r>
          </w:p>
          <w:p w14:paraId="12EC4CB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2.5温度稳定度：±1℃以内；</w:t>
            </w:r>
          </w:p>
          <w:p w14:paraId="66DA0E8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2.6测温精度：±0.2℃；</w:t>
            </w:r>
          </w:p>
          <w:p w14:paraId="512F2BE3">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2.7采用分体式PID智能程序控制器，控制器与电热板独立分体，控制器线长度≥1.5m；</w:t>
            </w:r>
          </w:p>
          <w:p w14:paraId="3D3C8E0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u w:val="single"/>
              </w:rPr>
              <w:t>2.8★电热板温度超过50℃时，具有热警示灯提醒功能</w:t>
            </w:r>
            <w:r>
              <w:rPr>
                <w:rFonts w:hint="eastAsia" w:ascii="宋体" w:hAnsi="宋体" w:eastAsia="宋体" w:cs="宋体"/>
                <w:color w:val="000000"/>
                <w:kern w:val="0"/>
                <w:sz w:val="21"/>
                <w:szCs w:val="21"/>
                <w:highlight w:val="none"/>
              </w:rPr>
              <w:t>；</w:t>
            </w:r>
          </w:p>
          <w:p w14:paraId="0F5B3BB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2.9▲整机机壳喷涂多层特氟龙保护膜，耐腐蚀；</w:t>
            </w:r>
          </w:p>
          <w:p w14:paraId="1F0C52D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2.10加热时间设置范围优于：1分钟至90小时；</w:t>
            </w:r>
          </w:p>
          <w:p w14:paraId="51C7262A">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3.配置清单 </w:t>
            </w:r>
          </w:p>
          <w:p w14:paraId="42BD6F0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3.1 </w:t>
            </w:r>
            <w:r>
              <w:rPr>
                <w:rFonts w:hint="eastAsia" w:ascii="宋体" w:hAnsi="宋体" w:cs="宋体"/>
                <w:color w:val="000000"/>
                <w:kern w:val="0"/>
                <w:sz w:val="21"/>
                <w:szCs w:val="21"/>
                <w:highlight w:val="none"/>
                <w:lang w:val="en-US" w:eastAsia="zh-CN"/>
              </w:rPr>
              <w:t>耐腐蚀</w:t>
            </w:r>
            <w:r>
              <w:rPr>
                <w:rFonts w:hint="eastAsia" w:ascii="宋体" w:hAnsi="宋体" w:eastAsia="宋体" w:cs="宋体"/>
                <w:color w:val="000000"/>
                <w:kern w:val="0"/>
                <w:sz w:val="21"/>
                <w:szCs w:val="21"/>
                <w:highlight w:val="none"/>
              </w:rPr>
              <w:t>电热板主机，1台；</w:t>
            </w:r>
          </w:p>
          <w:p w14:paraId="75BF09D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 分体式线控控制器，1台；</w:t>
            </w:r>
          </w:p>
          <w:p w14:paraId="47DFAF6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 聚四氟乙烯保护膜，1份。</w:t>
            </w:r>
          </w:p>
        </w:tc>
      </w:tr>
      <w:tr w14:paraId="1AC0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14:paraId="7B951AD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2557" w:type="dxa"/>
            <w:shd w:val="clear" w:color="auto" w:fill="auto"/>
            <w:vAlign w:val="center"/>
          </w:tcPr>
          <w:p w14:paraId="3B4DC73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北斗定位仪</w:t>
            </w:r>
          </w:p>
        </w:tc>
        <w:tc>
          <w:tcPr>
            <w:tcW w:w="5916" w:type="dxa"/>
            <w:shd w:val="clear" w:color="auto" w:fill="auto"/>
            <w:vAlign w:val="center"/>
          </w:tcPr>
          <w:p w14:paraId="38ECC1C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1.技术指标要求</w:t>
            </w:r>
          </w:p>
          <w:p w14:paraId="11C08AE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b/>
                <w:bCs/>
                <w:color w:val="000000"/>
                <w:kern w:val="0"/>
                <w:sz w:val="21"/>
                <w:szCs w:val="21"/>
                <w:highlight w:val="none"/>
                <w:u w:val="single"/>
              </w:rPr>
            </w:pPr>
            <w:r>
              <w:rPr>
                <w:rFonts w:hint="eastAsia" w:ascii="宋体" w:hAnsi="宋体" w:eastAsia="宋体" w:cs="宋体"/>
                <w:b/>
                <w:bCs/>
                <w:color w:val="000000"/>
                <w:kern w:val="0"/>
                <w:sz w:val="21"/>
                <w:szCs w:val="21"/>
                <w:highlight w:val="none"/>
                <w:u w:val="single"/>
                <w:lang w:val="en-US" w:eastAsia="zh-CN"/>
              </w:rPr>
              <w:t>1.</w:t>
            </w:r>
            <w:r>
              <w:rPr>
                <w:rFonts w:hint="eastAsia" w:ascii="宋体" w:hAnsi="宋体" w:eastAsia="宋体" w:cs="宋体"/>
                <w:b/>
                <w:bCs/>
                <w:color w:val="000000"/>
                <w:kern w:val="0"/>
                <w:sz w:val="21"/>
                <w:szCs w:val="21"/>
                <w:highlight w:val="none"/>
                <w:u w:val="single"/>
              </w:rPr>
              <w:t>1.★采用单北斗定位技术；</w:t>
            </w:r>
          </w:p>
          <w:p w14:paraId="57F6ECAD">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2.搭载处理器频率≥1.1GHz，单点定位精度2-5m，更新频率≥1Hz；</w:t>
            </w:r>
          </w:p>
          <w:p w14:paraId="71AFBCA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3.内存容量≥1GB，内置存储容量≥8GB，支持扩展存储；</w:t>
            </w:r>
          </w:p>
          <w:p w14:paraId="76F43EE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4.通讯支持WiFi、蓝牙，数据接口支持USB-Typec，支持数据导出；</w:t>
            </w:r>
          </w:p>
          <w:p w14:paraId="370B2F8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5.采用阳光可视屏幕，≥3英寸，分辨率≥480x800，屏幕支持手套及湿手触控；</w:t>
            </w:r>
          </w:p>
          <w:p w14:paraId="760F115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6.防尘防水等级≥IP68标准，跌落防摔≥1.8m；</w:t>
            </w:r>
          </w:p>
          <w:p w14:paraId="3850240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7.搭载≥800万像素摄像头，可以采集多媒体信息；</w:t>
            </w:r>
          </w:p>
          <w:p w14:paraId="0E206C6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8.工作温度支持-20℃-60℃；</w:t>
            </w:r>
          </w:p>
          <w:p w14:paraId="7FF1239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9.内置电子罗盘和气压计；</w:t>
            </w:r>
          </w:p>
          <w:p w14:paraId="002F6B0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10.内置可充电锂电池，电池容量≥4000mAh,使用时间≥16小时；</w:t>
            </w:r>
          </w:p>
          <w:p w14:paraId="4E4DE36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11.方便手持野外使用，外型尺寸</w:t>
            </w:r>
            <w:r>
              <w:rPr>
                <w:rFonts w:hint="eastAsia" w:ascii="宋体" w:hAnsi="宋体" w:eastAsia="宋体" w:cs="宋体"/>
                <w:b/>
                <w:bCs/>
                <w:color w:val="000000"/>
                <w:kern w:val="0"/>
                <w:sz w:val="21"/>
                <w:szCs w:val="21"/>
                <w:highlight w:val="none"/>
                <w:u w:val="none"/>
              </w:rPr>
              <w:t>≤</w:t>
            </w:r>
            <w:r>
              <w:rPr>
                <w:rFonts w:hint="eastAsia" w:ascii="宋体" w:hAnsi="宋体" w:eastAsia="宋体" w:cs="宋体"/>
                <w:color w:val="000000"/>
                <w:kern w:val="0"/>
                <w:sz w:val="21"/>
                <w:szCs w:val="21"/>
                <w:highlight w:val="none"/>
              </w:rPr>
              <w:t>17</w:t>
            </w:r>
            <w:r>
              <w:rPr>
                <w:rFonts w:hint="eastAsia" w:ascii="宋体" w:hAnsi="宋体" w:cs="宋体"/>
                <w:color w:val="000000"/>
                <w:kern w:val="0"/>
                <w:sz w:val="21"/>
                <w:szCs w:val="21"/>
                <w:highlight w:val="none"/>
                <w:lang w:val="en-US" w:eastAsia="zh-CN"/>
              </w:rPr>
              <w:t>5</w:t>
            </w:r>
            <w:r>
              <w:rPr>
                <w:rFonts w:hint="eastAsia" w:ascii="宋体" w:hAnsi="宋体" w:eastAsia="宋体" w:cs="宋体"/>
                <w:b/>
                <w:bCs/>
                <w:color w:val="000000"/>
                <w:kern w:val="0"/>
                <w:sz w:val="21"/>
                <w:szCs w:val="21"/>
                <w:highlight w:val="none"/>
                <w:u w:val="none"/>
              </w:rPr>
              <w:t>×</w:t>
            </w:r>
            <w:r>
              <w:rPr>
                <w:rFonts w:hint="eastAsia" w:ascii="宋体" w:hAnsi="宋体" w:cs="宋体"/>
                <w:color w:val="000000"/>
                <w:kern w:val="0"/>
                <w:sz w:val="21"/>
                <w:szCs w:val="21"/>
                <w:highlight w:val="none"/>
                <w:lang w:val="en-US" w:eastAsia="zh-CN"/>
              </w:rPr>
              <w:t>70</w:t>
            </w:r>
            <w:r>
              <w:rPr>
                <w:rFonts w:hint="eastAsia" w:ascii="宋体" w:hAnsi="宋体" w:eastAsia="宋体" w:cs="宋体"/>
                <w:b/>
                <w:bCs/>
                <w:color w:val="000000"/>
                <w:kern w:val="0"/>
                <w:sz w:val="21"/>
                <w:szCs w:val="21"/>
                <w:highlight w:val="none"/>
                <w:u w:val="none"/>
              </w:rPr>
              <w:t>×</w:t>
            </w:r>
            <w:r>
              <w:rPr>
                <w:rFonts w:hint="eastAsia" w:ascii="宋体" w:hAnsi="宋体" w:eastAsia="宋体" w:cs="宋体"/>
                <w:color w:val="000000"/>
                <w:kern w:val="0"/>
                <w:sz w:val="21"/>
                <w:szCs w:val="21"/>
                <w:highlight w:val="none"/>
              </w:rPr>
              <w:t>3</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mm；</w:t>
            </w:r>
          </w:p>
          <w:p w14:paraId="20871A1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12.支持点、线、面空间信息采集，支持自定义特征库；</w:t>
            </w:r>
          </w:p>
          <w:p w14:paraId="409D01A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13.支持长度、周长、面积测量计算；</w:t>
            </w:r>
          </w:p>
          <w:p w14:paraId="36829FE0">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14.支持直线导航和沿路导航，支持轨迹存储；</w:t>
            </w:r>
          </w:p>
          <w:p w14:paraId="0464E6E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15.内置电子地图，支持等高线加载，支持在线和离线地图；</w:t>
            </w:r>
          </w:p>
          <w:p w14:paraId="6144938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16.支持国家2000等常用坐标系，支持多坐标系坐标显示。</w:t>
            </w:r>
          </w:p>
          <w:p w14:paraId="5CD36A59">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cs="宋体"/>
                <w:color w:val="000000"/>
                <w:kern w:val="0"/>
                <w:sz w:val="21"/>
                <w:szCs w:val="21"/>
                <w:highlight w:val="none"/>
                <w:lang w:val="en-US" w:eastAsia="zh-CN"/>
              </w:rPr>
              <w:t>单套设备</w:t>
            </w:r>
            <w:r>
              <w:rPr>
                <w:rFonts w:hint="eastAsia" w:ascii="宋体" w:hAnsi="宋体" w:eastAsia="宋体" w:cs="宋体"/>
                <w:color w:val="000000"/>
                <w:kern w:val="0"/>
                <w:sz w:val="21"/>
                <w:szCs w:val="21"/>
                <w:highlight w:val="none"/>
              </w:rPr>
              <w:t>配置清单</w:t>
            </w:r>
          </w:p>
          <w:p w14:paraId="43B4C1CF">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2.1北斗定位</w:t>
            </w:r>
            <w:r>
              <w:rPr>
                <w:rFonts w:hint="eastAsia" w:ascii="宋体" w:hAnsi="宋体" w:cs="宋体"/>
                <w:color w:val="000000"/>
                <w:kern w:val="0"/>
                <w:sz w:val="21"/>
                <w:szCs w:val="21"/>
                <w:highlight w:val="none"/>
                <w:lang w:val="en-US" w:eastAsia="zh-CN"/>
              </w:rPr>
              <w:t>仪</w:t>
            </w:r>
            <w:r>
              <w:rPr>
                <w:rFonts w:hint="eastAsia" w:ascii="宋体" w:hAnsi="宋体" w:eastAsia="宋体" w:cs="宋体"/>
                <w:color w:val="000000"/>
                <w:kern w:val="0"/>
                <w:sz w:val="21"/>
                <w:szCs w:val="21"/>
                <w:highlight w:val="none"/>
              </w:rPr>
              <w:t>主机</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台</w:t>
            </w:r>
            <w:r>
              <w:rPr>
                <w:rFonts w:hint="eastAsia" w:ascii="宋体" w:hAnsi="宋体" w:cs="宋体"/>
                <w:color w:val="000000"/>
                <w:kern w:val="0"/>
                <w:sz w:val="21"/>
                <w:szCs w:val="21"/>
                <w:highlight w:val="none"/>
                <w:lang w:eastAsia="zh-CN"/>
              </w:rPr>
              <w:t>。</w:t>
            </w:r>
          </w:p>
        </w:tc>
      </w:tr>
    </w:tbl>
    <w:p w14:paraId="3B87569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（三）视频演示要求</w:t>
      </w:r>
    </w:p>
    <w:p w14:paraId="543D3BDF">
      <w:pPr>
        <w:pStyle w:val="7"/>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1、对于上文“（二）技术要求”要求功能视频内容，供应商须在响应文件递交截止时间前以U盘形式随纸质备用响应文件一同密封递交至采购代理机构指定地点（详见竞争性磋商公告）。</w:t>
      </w:r>
    </w:p>
    <w:p w14:paraId="2AD1A06F">
      <w:pPr>
        <w:pStyle w:val="7"/>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2、每个供应商功能视频演示总时长不超过10分钟。</w:t>
      </w:r>
    </w:p>
    <w:p w14:paraId="23E9E904">
      <w:pPr>
        <w:pStyle w:val="7"/>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3</w:t>
      </w:r>
      <w:r>
        <w:rPr>
          <w:rFonts w:hint="default" w:ascii="宋体" w:hAnsi="宋体" w:eastAsia="宋体" w:cs="宋体"/>
          <w:b w:val="0"/>
          <w:bCs w:val="0"/>
          <w:color w:val="000000"/>
          <w:kern w:val="2"/>
          <w:sz w:val="21"/>
          <w:szCs w:val="21"/>
          <w:highlight w:val="none"/>
          <w:lang w:val="en-US" w:eastAsia="zh-CN"/>
        </w:rPr>
        <w:t>、</w:t>
      </w:r>
      <w:r>
        <w:rPr>
          <w:rFonts w:hint="eastAsia" w:ascii="宋体" w:hAnsi="宋体" w:eastAsia="宋体" w:cs="宋体"/>
          <w:b w:val="0"/>
          <w:bCs w:val="0"/>
          <w:color w:val="000000"/>
          <w:kern w:val="2"/>
          <w:sz w:val="21"/>
          <w:szCs w:val="21"/>
          <w:highlight w:val="none"/>
          <w:lang w:val="en-US" w:eastAsia="zh-CN"/>
        </w:rPr>
        <w:t>供应商</w:t>
      </w:r>
      <w:r>
        <w:rPr>
          <w:rFonts w:hint="default" w:ascii="宋体" w:hAnsi="宋体" w:eastAsia="宋体" w:cs="宋体"/>
          <w:b w:val="0"/>
          <w:bCs w:val="0"/>
          <w:color w:val="000000"/>
          <w:kern w:val="2"/>
          <w:sz w:val="21"/>
          <w:szCs w:val="21"/>
          <w:highlight w:val="none"/>
          <w:lang w:val="en-US" w:eastAsia="zh-CN"/>
        </w:rPr>
        <w:t>提供所投产品的功能演示视频要求：</w:t>
      </w:r>
    </w:p>
    <w:p w14:paraId="29CAA175">
      <w:pPr>
        <w:pStyle w:val="7"/>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b w:val="0"/>
          <w:bCs w:val="0"/>
          <w:color w:val="000000"/>
          <w:kern w:val="2"/>
          <w:sz w:val="21"/>
          <w:szCs w:val="21"/>
          <w:highlight w:val="none"/>
          <w:lang w:val="en-US" w:eastAsia="zh-CN"/>
        </w:rPr>
      </w:pPr>
      <w:r>
        <w:rPr>
          <w:rFonts w:hint="default" w:ascii="宋体" w:hAnsi="宋体" w:eastAsia="宋体" w:cs="宋体"/>
          <w:b w:val="0"/>
          <w:bCs w:val="0"/>
          <w:color w:val="000000"/>
          <w:kern w:val="2"/>
          <w:sz w:val="21"/>
          <w:szCs w:val="21"/>
          <w:highlight w:val="none"/>
          <w:lang w:val="en-US" w:eastAsia="zh-CN"/>
        </w:rPr>
        <w:t>（1）如涉及移动端相关功能时，须将移动端设备界面一并录制；</w:t>
      </w:r>
    </w:p>
    <w:p w14:paraId="2985F297">
      <w:pPr>
        <w:pStyle w:val="7"/>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b w:val="0"/>
          <w:bCs w:val="0"/>
          <w:color w:val="000000"/>
          <w:kern w:val="2"/>
          <w:sz w:val="21"/>
          <w:szCs w:val="21"/>
          <w:highlight w:val="none"/>
          <w:lang w:val="en-US" w:eastAsia="zh-CN"/>
        </w:rPr>
      </w:pPr>
      <w:r>
        <w:rPr>
          <w:rFonts w:hint="default" w:ascii="宋体" w:hAnsi="宋体" w:eastAsia="宋体" w:cs="宋体"/>
          <w:b w:val="0"/>
          <w:bCs w:val="0"/>
          <w:color w:val="000000"/>
          <w:kern w:val="2"/>
          <w:sz w:val="21"/>
          <w:szCs w:val="21"/>
          <w:highlight w:val="none"/>
          <w:lang w:val="en-US" w:eastAsia="zh-CN"/>
        </w:rPr>
        <w:t>（2）演示视频全程应伴随有操作人员普通话讲解，配有中文字幕</w:t>
      </w:r>
      <w:r>
        <w:rPr>
          <w:rFonts w:hint="eastAsia" w:ascii="宋体" w:hAnsi="宋体" w:eastAsia="宋体" w:cs="宋体"/>
          <w:b w:val="0"/>
          <w:bCs w:val="0"/>
          <w:color w:val="000000"/>
          <w:kern w:val="2"/>
          <w:sz w:val="21"/>
          <w:szCs w:val="21"/>
          <w:highlight w:val="none"/>
          <w:lang w:val="en-US" w:eastAsia="zh-CN"/>
        </w:rPr>
        <w:t>。</w:t>
      </w:r>
    </w:p>
    <w:p w14:paraId="547A00B9">
      <w:pPr>
        <w:pStyle w:val="7"/>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4</w:t>
      </w:r>
      <w:r>
        <w:rPr>
          <w:rFonts w:hint="default" w:ascii="宋体" w:hAnsi="宋体" w:eastAsia="宋体" w:cs="宋体"/>
          <w:b w:val="0"/>
          <w:bCs w:val="0"/>
          <w:color w:val="000000"/>
          <w:kern w:val="2"/>
          <w:sz w:val="21"/>
          <w:szCs w:val="21"/>
          <w:highlight w:val="none"/>
          <w:lang w:val="en-US" w:eastAsia="zh-CN"/>
        </w:rPr>
        <w:t>、视频演示文件将由</w:t>
      </w:r>
      <w:r>
        <w:rPr>
          <w:rFonts w:hint="eastAsia" w:ascii="宋体" w:hAnsi="宋体" w:eastAsia="宋体" w:cs="宋体"/>
          <w:b w:val="0"/>
          <w:bCs w:val="0"/>
          <w:color w:val="000000"/>
          <w:kern w:val="2"/>
          <w:sz w:val="21"/>
          <w:szCs w:val="21"/>
          <w:highlight w:val="none"/>
          <w:lang w:val="en-US" w:eastAsia="zh-CN"/>
        </w:rPr>
        <w:t>采购</w:t>
      </w:r>
      <w:r>
        <w:rPr>
          <w:rFonts w:hint="default" w:ascii="宋体" w:hAnsi="宋体" w:eastAsia="宋体" w:cs="宋体"/>
          <w:b w:val="0"/>
          <w:bCs w:val="0"/>
          <w:color w:val="000000"/>
          <w:kern w:val="2"/>
          <w:sz w:val="21"/>
          <w:szCs w:val="21"/>
          <w:highlight w:val="none"/>
          <w:lang w:val="en-US" w:eastAsia="zh-CN"/>
        </w:rPr>
        <w:t>代理机构向</w:t>
      </w:r>
      <w:r>
        <w:rPr>
          <w:rFonts w:hint="eastAsia" w:ascii="宋体" w:hAnsi="宋体" w:eastAsia="宋体" w:cs="宋体"/>
          <w:b w:val="0"/>
          <w:bCs w:val="0"/>
          <w:color w:val="000000"/>
          <w:kern w:val="2"/>
          <w:sz w:val="21"/>
          <w:szCs w:val="21"/>
          <w:highlight w:val="none"/>
          <w:lang w:val="en-US" w:eastAsia="zh-CN"/>
        </w:rPr>
        <w:t>磋商小组</w:t>
      </w:r>
      <w:r>
        <w:rPr>
          <w:rFonts w:hint="default" w:ascii="宋体" w:hAnsi="宋体" w:eastAsia="宋体" w:cs="宋体"/>
          <w:b w:val="0"/>
          <w:bCs w:val="0"/>
          <w:color w:val="000000"/>
          <w:kern w:val="2"/>
          <w:sz w:val="21"/>
          <w:szCs w:val="21"/>
          <w:highlight w:val="none"/>
          <w:lang w:val="en-US" w:eastAsia="zh-CN"/>
        </w:rPr>
        <w:t>播放；</w:t>
      </w:r>
    </w:p>
    <w:p w14:paraId="17F6F401">
      <w:pPr>
        <w:pStyle w:val="7"/>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auto"/>
        <w:rPr>
          <w:rFonts w:hint="default"/>
          <w:highlight w:val="none"/>
          <w:lang w:val="en-US" w:eastAsia="zh-CN"/>
        </w:rPr>
      </w:pPr>
      <w:r>
        <w:rPr>
          <w:rFonts w:hint="eastAsia"/>
          <w:highlight w:val="none"/>
          <w:lang w:val="en-US" w:eastAsia="zh-CN"/>
        </w:rPr>
        <w:t>5、对于未提供视频演示、演示内容不能被</w:t>
      </w:r>
      <w:r>
        <w:rPr>
          <w:rFonts w:hint="eastAsia" w:ascii="宋体" w:hAnsi="宋体" w:eastAsia="宋体" w:cs="宋体"/>
          <w:b w:val="0"/>
          <w:bCs w:val="0"/>
          <w:color w:val="000000"/>
          <w:kern w:val="2"/>
          <w:sz w:val="21"/>
          <w:szCs w:val="21"/>
          <w:highlight w:val="none"/>
          <w:lang w:val="en-US" w:eastAsia="zh-CN"/>
        </w:rPr>
        <w:t>磋商</w:t>
      </w:r>
      <w:r>
        <w:rPr>
          <w:rFonts w:hint="eastAsia"/>
          <w:highlight w:val="none"/>
          <w:lang w:val="en-US" w:eastAsia="zh-CN"/>
        </w:rPr>
        <w:t>小组辨别等情况的，视为对应</w:t>
      </w:r>
      <w:r>
        <w:rPr>
          <w:rFonts w:hint="eastAsia" w:ascii="宋体" w:hAnsi="宋体" w:eastAsia="宋体" w:cs="宋体"/>
          <w:b w:val="0"/>
          <w:bCs w:val="0"/>
          <w:color w:val="000000"/>
          <w:kern w:val="2"/>
          <w:sz w:val="21"/>
          <w:szCs w:val="21"/>
          <w:highlight w:val="none"/>
          <w:lang w:val="en-US" w:eastAsia="zh-CN"/>
        </w:rPr>
        <w:t>“（二）技术要求”要求负偏离。</w:t>
      </w:r>
    </w:p>
    <w:p w14:paraId="62F409D7">
      <w:pPr>
        <w:pageBreakBefore w:val="0"/>
        <w:widowControl w:val="0"/>
        <w:numPr>
          <w:ilvl w:val="0"/>
          <w:numId w:val="0"/>
        </w:numPr>
        <w:kinsoku/>
        <w:wordWrap/>
        <w:overflowPunct/>
        <w:topLinePunct w:val="0"/>
        <w:autoSpaceDE/>
        <w:autoSpaceDN/>
        <w:bidi w:val="0"/>
        <w:adjustRightInd w:val="0"/>
        <w:snapToGrid w:val="0"/>
        <w:spacing w:line="360" w:lineRule="auto"/>
        <w:ind w:left="480" w:leftChars="0"/>
        <w:jc w:val="both"/>
        <w:rPr>
          <w:rFonts w:hint="eastAsia" w:ascii="宋体" w:hAnsi="宋体" w:eastAsia="宋体" w:cs="宋体"/>
          <w:kern w:val="2"/>
          <w:sz w:val="21"/>
          <w:szCs w:val="21"/>
          <w:lang w:val="en-US" w:eastAsia="zh-CN" w:bidi="ar-SA"/>
        </w:rPr>
      </w:pPr>
    </w:p>
    <w:p w14:paraId="0C6F705A">
      <w:pPr>
        <w:keepNext w:val="0"/>
        <w:keepLines w:val="0"/>
        <w:pageBreakBefore w:val="0"/>
        <w:widowControl w:val="0"/>
        <w:kinsoku/>
        <w:wordWrap/>
        <w:overflowPunct/>
        <w:topLinePunct w:val="0"/>
        <w:autoSpaceDE/>
        <w:autoSpaceDN/>
        <w:bidi w:val="0"/>
        <w:adjustRightInd w:val="0"/>
        <w:snapToGrid w:val="0"/>
        <w:spacing w:line="360" w:lineRule="auto"/>
        <w:jc w:val="both"/>
        <w:rPr>
          <w:rFonts w:hint="eastAsia" w:ascii="宋体" w:hAnsi="宋体" w:eastAsia="宋体" w:cs="宋体"/>
          <w:color w:val="000000"/>
          <w:kern w:val="2"/>
          <w:sz w:val="21"/>
          <w:szCs w:val="21"/>
          <w:highlight w:val="none"/>
          <w:lang w:val="zh-CN"/>
        </w:rPr>
      </w:pPr>
      <w:bookmarkStart w:id="0" w:name="_Toc449531381"/>
      <w:r>
        <w:rPr>
          <w:rFonts w:hint="eastAsia" w:ascii="宋体" w:hAnsi="宋体" w:eastAsia="宋体" w:cs="宋体"/>
          <w:b/>
          <w:color w:val="000000"/>
          <w:kern w:val="2"/>
          <w:sz w:val="21"/>
          <w:szCs w:val="21"/>
          <w:highlight w:val="none"/>
          <w:lang w:val="en-US" w:eastAsia="zh-CN"/>
        </w:rPr>
        <w:t>四、</w:t>
      </w:r>
      <w:r>
        <w:rPr>
          <w:rFonts w:hint="eastAsia" w:ascii="宋体" w:hAnsi="宋体" w:eastAsia="宋体" w:cs="宋体"/>
          <w:b/>
          <w:color w:val="000000"/>
          <w:kern w:val="2"/>
          <w:sz w:val="21"/>
          <w:szCs w:val="21"/>
          <w:highlight w:val="none"/>
        </w:rPr>
        <w:t>商务要求</w:t>
      </w:r>
      <w:bookmarkEnd w:id="0"/>
    </w:p>
    <w:p w14:paraId="373B19C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1.</w:t>
      </w:r>
      <w:r>
        <w:rPr>
          <w:rFonts w:hint="eastAsia" w:ascii="宋体" w:hAnsi="宋体" w:eastAsia="宋体" w:cs="宋体"/>
          <w:b/>
          <w:bCs/>
          <w:color w:val="000000"/>
          <w:kern w:val="2"/>
          <w:sz w:val="21"/>
          <w:szCs w:val="21"/>
          <w:highlight w:val="none"/>
        </w:rPr>
        <w:t>交货方式</w:t>
      </w:r>
    </w:p>
    <w:p w14:paraId="256FF2C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kern w:val="2"/>
          <w:sz w:val="21"/>
          <w:szCs w:val="21"/>
          <w:highlight w:val="none"/>
          <w:lang w:val="en-US" w:eastAsia="zh-CN"/>
        </w:rPr>
      </w:pPr>
      <w:r>
        <w:rPr>
          <w:rFonts w:hint="eastAsia" w:ascii="宋体" w:hAnsi="宋体" w:eastAsia="宋体" w:cs="宋体"/>
          <w:b w:val="0"/>
          <w:bCs w:val="0"/>
          <w:color w:val="000000"/>
          <w:kern w:val="2"/>
          <w:sz w:val="21"/>
          <w:szCs w:val="21"/>
          <w:highlight w:val="none"/>
          <w:lang w:eastAsia="zh-CN"/>
        </w:rPr>
        <w:t>（</w:t>
      </w:r>
      <w:r>
        <w:rPr>
          <w:rFonts w:hint="eastAsia" w:ascii="宋体" w:hAnsi="宋体" w:eastAsia="宋体" w:cs="宋体"/>
          <w:b w:val="0"/>
          <w:bCs w:val="0"/>
          <w:color w:val="000000"/>
          <w:kern w:val="2"/>
          <w:sz w:val="21"/>
          <w:szCs w:val="21"/>
          <w:highlight w:val="none"/>
          <w:lang w:val="en-US" w:eastAsia="zh-CN"/>
        </w:rPr>
        <w:t>1）</w:t>
      </w:r>
      <w:r>
        <w:rPr>
          <w:rFonts w:hint="eastAsia" w:ascii="宋体" w:hAnsi="宋体" w:eastAsia="宋体" w:cs="宋体"/>
          <w:b w:val="0"/>
          <w:bCs w:val="0"/>
          <w:color w:val="000000"/>
          <w:kern w:val="2"/>
          <w:sz w:val="21"/>
          <w:szCs w:val="21"/>
          <w:highlight w:val="none"/>
        </w:rPr>
        <w:t>交货时间：</w:t>
      </w:r>
      <w:r>
        <w:rPr>
          <w:rFonts w:hint="eastAsia" w:ascii="宋体" w:hAnsi="宋体" w:eastAsia="宋体" w:cs="宋体"/>
          <w:kern w:val="2"/>
          <w:sz w:val="21"/>
          <w:szCs w:val="21"/>
          <w:highlight w:val="none"/>
          <w:lang w:val="en-US" w:eastAsia="zh-CN"/>
        </w:rPr>
        <w:t>采购货物在合同签订后三个月内交付。完成交付后30天内完成仪器设备安装、调试和验收。</w:t>
      </w:r>
    </w:p>
    <w:p w14:paraId="6B2240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b w:val="0"/>
          <w:bCs w:val="0"/>
          <w:color w:val="000000"/>
          <w:kern w:val="2"/>
          <w:sz w:val="21"/>
          <w:szCs w:val="21"/>
          <w:highlight w:val="none"/>
          <w:lang w:eastAsia="zh-CN"/>
        </w:rPr>
        <w:t>（</w:t>
      </w:r>
      <w:r>
        <w:rPr>
          <w:rFonts w:hint="eastAsia" w:ascii="宋体" w:hAnsi="宋体" w:eastAsia="宋体" w:cs="宋体"/>
          <w:b w:val="0"/>
          <w:bCs w:val="0"/>
          <w:color w:val="000000"/>
          <w:kern w:val="2"/>
          <w:sz w:val="21"/>
          <w:szCs w:val="21"/>
          <w:highlight w:val="none"/>
          <w:lang w:val="en-US" w:eastAsia="zh-CN"/>
        </w:rPr>
        <w:t>2）</w:t>
      </w:r>
      <w:r>
        <w:rPr>
          <w:rFonts w:hint="eastAsia" w:ascii="宋体" w:hAnsi="宋体" w:eastAsia="宋体" w:cs="宋体"/>
          <w:b w:val="0"/>
          <w:bCs w:val="0"/>
          <w:color w:val="000000"/>
          <w:kern w:val="2"/>
          <w:sz w:val="21"/>
          <w:szCs w:val="21"/>
          <w:highlight w:val="none"/>
        </w:rPr>
        <w:t>交货地点：</w:t>
      </w:r>
      <w:r>
        <w:rPr>
          <w:rFonts w:hint="eastAsia" w:ascii="宋体" w:hAnsi="宋体" w:eastAsia="宋体" w:cs="宋体"/>
          <w:kern w:val="0"/>
          <w:sz w:val="21"/>
          <w:szCs w:val="21"/>
          <w:highlight w:val="none"/>
        </w:rPr>
        <w:t>采购人指定地点。</w:t>
      </w:r>
    </w:p>
    <w:p w14:paraId="20055D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rPr>
        <w:t>货物为原厂制造商未启封全新包装，序列号、包装箱号与出厂批号一致，并可追索查阅</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质量符合国家标准</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供应商保证货物不存在知识产权、所有权、使用权等权利纠纷，否则，该责任应由</w:t>
      </w:r>
      <w:r>
        <w:rPr>
          <w:rFonts w:hint="eastAsia" w:ascii="宋体" w:hAnsi="宋体" w:eastAsia="宋体" w:cs="宋体"/>
          <w:color w:val="000000"/>
          <w:kern w:val="2"/>
          <w:sz w:val="21"/>
          <w:szCs w:val="21"/>
          <w:highlight w:val="none"/>
          <w:lang w:val="en-US" w:eastAsia="zh-CN"/>
        </w:rPr>
        <w:t>成交</w:t>
      </w:r>
      <w:r>
        <w:rPr>
          <w:rFonts w:hint="eastAsia" w:ascii="宋体" w:hAnsi="宋体" w:eastAsia="宋体" w:cs="宋体"/>
          <w:color w:val="000000"/>
          <w:kern w:val="2"/>
          <w:sz w:val="21"/>
          <w:szCs w:val="21"/>
          <w:highlight w:val="none"/>
        </w:rPr>
        <w:t>供应商承担。</w:t>
      </w:r>
    </w:p>
    <w:p w14:paraId="3F6BB951">
      <w:pPr>
        <w:adjustRightInd w:val="0"/>
        <w:snapToGrid w:val="0"/>
        <w:spacing w:line="360" w:lineRule="auto"/>
        <w:ind w:firstLine="211" w:firstLineChars="100"/>
        <w:jc w:val="left"/>
        <w:rPr>
          <w:rFonts w:hint="eastAsia" w:ascii="宋体" w:hAnsi="宋体"/>
          <w:b/>
          <w:bCs/>
          <w:color w:val="auto"/>
          <w:szCs w:val="21"/>
          <w:highlight w:val="none"/>
        </w:rPr>
      </w:pPr>
      <w:r>
        <w:rPr>
          <w:rFonts w:hint="eastAsia" w:ascii="宋体" w:hAnsi="宋体" w:cs="宋体"/>
          <w:b/>
          <w:bCs/>
          <w:color w:val="000000"/>
          <w:kern w:val="2"/>
          <w:sz w:val="21"/>
          <w:szCs w:val="21"/>
          <w:highlight w:val="none"/>
          <w:lang w:val="en-US" w:eastAsia="zh-CN"/>
        </w:rPr>
        <w:t>2、</w:t>
      </w:r>
      <w:r>
        <w:rPr>
          <w:rFonts w:hint="eastAsia" w:eastAsia="宋体" w:cs="宋体"/>
          <w:b/>
          <w:bCs/>
          <w:color w:val="auto"/>
          <w:szCs w:val="21"/>
          <w:highlight w:val="none"/>
          <w:lang w:val="zh-CN" w:eastAsia="zh-CN"/>
        </w:rPr>
        <w:t>设备的安装与调试</w:t>
      </w:r>
    </w:p>
    <w:p w14:paraId="41E26A75">
      <w:pPr>
        <w:adjustRightInd w:val="0"/>
        <w:snapToGrid w:val="0"/>
        <w:spacing w:line="360" w:lineRule="auto"/>
        <w:ind w:firstLine="420" w:firstLineChars="200"/>
        <w:jc w:val="left"/>
        <w:rPr>
          <w:rFonts w:hint="eastAsia" w:eastAsia="宋体" w:cs="宋体"/>
          <w:color w:val="auto"/>
          <w:szCs w:val="21"/>
          <w:highlight w:val="none"/>
        </w:rPr>
      </w:pPr>
      <w:r>
        <w:rPr>
          <w:rFonts w:hint="eastAsia" w:eastAsia="宋体" w:cs="宋体"/>
          <w:color w:val="auto"/>
          <w:szCs w:val="21"/>
          <w:highlight w:val="none"/>
          <w:lang w:val="en-US" w:eastAsia="zh-CN"/>
        </w:rPr>
        <w:t>（1）</w:t>
      </w:r>
      <w:r>
        <w:rPr>
          <w:rFonts w:hint="eastAsia" w:eastAsia="宋体" w:cs="宋体"/>
          <w:color w:val="auto"/>
          <w:szCs w:val="21"/>
          <w:highlight w:val="none"/>
        </w:rPr>
        <w:t>设备交货后，中标供应商需在采购人指定时间和地点进行安装与调试</w:t>
      </w:r>
      <w:r>
        <w:rPr>
          <w:rFonts w:hint="eastAsia" w:eastAsia="宋体" w:cs="宋体"/>
          <w:color w:val="auto"/>
          <w:szCs w:val="21"/>
          <w:highlight w:val="none"/>
          <w:lang w:eastAsia="zh-CN"/>
        </w:rPr>
        <w:t>，</w:t>
      </w:r>
      <w:r>
        <w:rPr>
          <w:rFonts w:hint="eastAsia" w:eastAsia="宋体" w:cs="宋体"/>
          <w:color w:val="auto"/>
          <w:szCs w:val="21"/>
          <w:highlight w:val="none"/>
        </w:rPr>
        <w:t>按本项目要求的技术</w:t>
      </w:r>
      <w:r>
        <w:rPr>
          <w:rFonts w:hint="eastAsia" w:eastAsia="宋体" w:cs="宋体"/>
          <w:color w:val="auto"/>
          <w:szCs w:val="21"/>
          <w:highlight w:val="none"/>
          <w:lang w:val="en-US" w:eastAsia="zh-CN"/>
        </w:rPr>
        <w:t>参数</w:t>
      </w:r>
      <w:r>
        <w:rPr>
          <w:rFonts w:hint="eastAsia" w:eastAsia="宋体" w:cs="宋体"/>
          <w:color w:val="auto"/>
          <w:szCs w:val="21"/>
          <w:highlight w:val="none"/>
        </w:rPr>
        <w:t>、技术规范进行安装调试，并将设备调试到最佳状态。未经采购人书面同意，不得更换相关配件和设备。</w:t>
      </w:r>
    </w:p>
    <w:p w14:paraId="5EE71FBD">
      <w:pPr>
        <w:adjustRightInd w:val="0"/>
        <w:snapToGrid w:val="0"/>
        <w:spacing w:line="360" w:lineRule="auto"/>
        <w:ind w:firstLine="420" w:firstLineChars="200"/>
        <w:jc w:val="left"/>
        <w:rPr>
          <w:rFonts w:hint="eastAsia" w:eastAsia="宋体" w:cs="宋体"/>
          <w:color w:val="auto"/>
          <w:szCs w:val="21"/>
          <w:highlight w:val="none"/>
          <w:lang w:eastAsia="zh-CN"/>
        </w:rPr>
      </w:pPr>
      <w:r>
        <w:rPr>
          <w:rFonts w:hint="eastAsia" w:eastAsia="宋体" w:cs="宋体"/>
          <w:color w:val="auto"/>
          <w:szCs w:val="21"/>
          <w:highlight w:val="none"/>
          <w:lang w:val="en-US" w:eastAsia="zh-CN"/>
        </w:rPr>
        <w:t>（2）</w:t>
      </w:r>
      <w:r>
        <w:rPr>
          <w:rFonts w:hint="eastAsia" w:eastAsia="宋体" w:cs="宋体"/>
          <w:color w:val="auto"/>
          <w:szCs w:val="21"/>
          <w:highlight w:val="none"/>
        </w:rPr>
        <w:t>设备在安装调试后未能达到中标人在投标书中所承诺的效果或未能通过采购人验收的，中标人应重新安装、调试，直至达到要求为止。且中标人需于合同工期满15天内重新安装，并调试达到合同要求。若逾期交付超过15天，采购人有权将情况上报给主管部门，已发生的费用由中标人自行承担，中标人应当退还采购人全部已支付费用。此外，中标人应向采购人支付合同总价20％的违约金，违约金不足以弥补采购人损失的，中标人应予以补足。</w:t>
      </w:r>
    </w:p>
    <w:p w14:paraId="41079C43">
      <w:pPr>
        <w:adjustRightInd w:val="0"/>
        <w:snapToGrid w:val="0"/>
        <w:spacing w:line="360" w:lineRule="auto"/>
        <w:ind w:firstLine="420" w:firstLineChars="200"/>
        <w:jc w:val="left"/>
        <w:rPr>
          <w:rFonts w:hint="eastAsia" w:eastAsia="宋体" w:cs="宋体"/>
          <w:color w:val="auto"/>
          <w:szCs w:val="21"/>
          <w:highlight w:val="none"/>
          <w:lang w:val="en-US" w:eastAsia="zh-CN"/>
        </w:rPr>
      </w:pPr>
      <w:r>
        <w:rPr>
          <w:rFonts w:hint="eastAsia" w:eastAsia="宋体" w:cs="宋体"/>
          <w:color w:val="auto"/>
          <w:szCs w:val="21"/>
          <w:highlight w:val="none"/>
          <w:lang w:eastAsia="zh-CN"/>
        </w:rPr>
        <w:t>（</w:t>
      </w:r>
      <w:r>
        <w:rPr>
          <w:rFonts w:hint="eastAsia" w:eastAsia="宋体" w:cs="宋体"/>
          <w:color w:val="auto"/>
          <w:szCs w:val="21"/>
          <w:highlight w:val="none"/>
          <w:lang w:val="en-US" w:eastAsia="zh-CN"/>
        </w:rPr>
        <w:t>3</w:t>
      </w:r>
      <w:r>
        <w:rPr>
          <w:rFonts w:hint="eastAsia" w:eastAsia="宋体" w:cs="宋体"/>
          <w:color w:val="auto"/>
          <w:szCs w:val="21"/>
          <w:highlight w:val="none"/>
          <w:lang w:eastAsia="zh-CN"/>
        </w:rPr>
        <w:t>）</w:t>
      </w:r>
      <w:r>
        <w:rPr>
          <w:rFonts w:hint="eastAsia" w:eastAsia="宋体" w:cs="宋体"/>
          <w:color w:val="auto"/>
          <w:szCs w:val="21"/>
          <w:highlight w:val="none"/>
        </w:rPr>
        <w:t>本项目由制造商授权的技术人员负责现场安装和调试，安装调试人员应主动与采购人协商安排安装调试的各项事宜，产生的一切费用由包含在投标总价内。安装调试所需专用工具、设施物料由中标供应商自备、自费运到现场，完工后自费搬走。如安装调试未达验收要求，中标供应商应重新检测和调试，双方不得拖延。</w:t>
      </w:r>
    </w:p>
    <w:p w14:paraId="1B736ADB">
      <w:pPr>
        <w:pStyle w:val="7"/>
        <w:rPr>
          <w:rFonts w:hint="default"/>
          <w:highlight w:val="none"/>
          <w:lang w:val="en-US" w:eastAsia="zh-CN"/>
        </w:rPr>
      </w:pPr>
    </w:p>
    <w:p w14:paraId="0DFA69F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lang w:val="en-US" w:eastAsia="zh-CN"/>
        </w:rPr>
      </w:pPr>
      <w:r>
        <w:rPr>
          <w:rFonts w:hint="eastAsia" w:ascii="宋体" w:hAnsi="宋体" w:cs="宋体"/>
          <w:b/>
          <w:bCs/>
          <w:color w:val="000000"/>
          <w:kern w:val="2"/>
          <w:sz w:val="21"/>
          <w:szCs w:val="21"/>
          <w:highlight w:val="none"/>
          <w:lang w:val="en-US" w:eastAsia="zh-CN"/>
        </w:rPr>
        <w:t>3</w:t>
      </w:r>
      <w:r>
        <w:rPr>
          <w:rFonts w:hint="eastAsia" w:ascii="宋体" w:hAnsi="宋体" w:eastAsia="宋体" w:cs="宋体"/>
          <w:b/>
          <w:bCs/>
          <w:color w:val="000000"/>
          <w:kern w:val="2"/>
          <w:sz w:val="21"/>
          <w:szCs w:val="21"/>
          <w:highlight w:val="none"/>
          <w:lang w:val="en-US" w:eastAsia="zh-CN"/>
        </w:rPr>
        <w:t>.质量保证期及售后服务</w:t>
      </w:r>
    </w:p>
    <w:p w14:paraId="247DA3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en-US" w:eastAsia="zh-CN"/>
        </w:rPr>
        <w:t>.1质量保证期</w:t>
      </w:r>
    </w:p>
    <w:p w14:paraId="482DED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en-US" w:eastAsia="zh-CN"/>
        </w:rPr>
        <w:t>.1.1离子色谱仪</w:t>
      </w:r>
    </w:p>
    <w:p w14:paraId="11393FA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质量保证期：质量保证期（简称“质保期”）为所有设备交付、验收合格之日起连续正常使用累计至少满三年的全保服务。质保期内成交供应商对所供货物实行包修、包换、包退、包维护保养，具体由成交供应商在响应文件中承诺。质保期内采购人对成交供应商享有追索权。</w:t>
      </w:r>
    </w:p>
    <w:p w14:paraId="1F897CC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en-US" w:eastAsia="zh-CN"/>
        </w:rPr>
        <w:t>.1.2、全自动蒸馏仪、耐腐蚀电热板、北斗定位仪</w:t>
      </w:r>
    </w:p>
    <w:p w14:paraId="1AB913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质量保证期：质量保证期（简称“质保期”）为所有设备交付、验收合格之日起连续正常使用累计至少满一年的全保服务。质保期内成交供应商对所供货物实行包修、包换、包退、包维护保养，具体由成交供应商在响应文件中承诺。质保期内采购人对成交供应商享有追索权。</w:t>
      </w:r>
    </w:p>
    <w:p w14:paraId="6E12F40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en-US" w:eastAsia="zh-CN"/>
        </w:rPr>
        <w:t>.2其他售后服务要求</w:t>
      </w:r>
    </w:p>
    <w:p w14:paraId="19A9F8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en-US" w:eastAsia="zh-CN"/>
        </w:rPr>
        <w:t>.2.1保修期:质量保证期满后提供不少于10年的保修期。</w:t>
      </w:r>
    </w:p>
    <w:p w14:paraId="71DC284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en-US" w:eastAsia="zh-CN"/>
        </w:rPr>
        <w:t>.2.2成交供应商须提供常设7天×24小时热线服务和长期的免费技术支持。对用户的故障通知，如电话响应无法解决的，3个工作日内到达现场，一般问题应在48小时内解决，重大问题或其它无法迅速解决的问题应在5个工作日内解决或提出明确解决方案，否则中标人应赔偿用户的相应损失。</w:t>
      </w:r>
    </w:p>
    <w:p w14:paraId="352A793E">
      <w:pPr>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en-US" w:eastAsia="zh-CN"/>
        </w:rPr>
        <w:t>.2.3</w:t>
      </w:r>
      <w:r>
        <w:rPr>
          <w:rFonts w:hint="eastAsia" w:ascii="宋体" w:hAnsi="宋体" w:eastAsia="宋体" w:cs="宋体"/>
          <w:color w:val="000000"/>
          <w:kern w:val="2"/>
          <w:sz w:val="21"/>
          <w:szCs w:val="21"/>
          <w:highlight w:val="none"/>
        </w:rPr>
        <w:t>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14:paraId="2768D14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u w:val="single"/>
        </w:rPr>
      </w:pPr>
      <w:r>
        <w:rPr>
          <w:rFonts w:hint="eastAsia" w:eastAsia="宋体" w:cs="宋体"/>
          <w:b/>
          <w:bCs/>
          <w:sz w:val="21"/>
          <w:szCs w:val="21"/>
          <w:highlight w:val="none"/>
          <w:u w:val="single"/>
          <w:lang w:val="en-US" w:eastAsia="zh-CN"/>
        </w:rPr>
        <w:t>★</w:t>
      </w:r>
      <w:r>
        <w:rPr>
          <w:rFonts w:hint="eastAsia" w:ascii="宋体" w:hAnsi="宋体" w:cs="宋体"/>
          <w:b/>
          <w:bCs/>
          <w:color w:val="000000"/>
          <w:kern w:val="2"/>
          <w:sz w:val="21"/>
          <w:szCs w:val="21"/>
          <w:highlight w:val="none"/>
          <w:u w:val="single"/>
          <w:lang w:val="en-US" w:eastAsia="zh-CN"/>
        </w:rPr>
        <w:t>3</w:t>
      </w:r>
      <w:r>
        <w:rPr>
          <w:rFonts w:hint="eastAsia" w:ascii="宋体" w:hAnsi="宋体" w:eastAsia="宋体" w:cs="宋体"/>
          <w:b/>
          <w:bCs/>
          <w:color w:val="000000"/>
          <w:kern w:val="2"/>
          <w:sz w:val="21"/>
          <w:szCs w:val="21"/>
          <w:highlight w:val="none"/>
          <w:u w:val="single"/>
        </w:rPr>
        <w:t>.</w:t>
      </w:r>
      <w:r>
        <w:rPr>
          <w:rFonts w:hint="eastAsia" w:ascii="宋体" w:hAnsi="宋体" w:eastAsia="宋体" w:cs="宋体"/>
          <w:b/>
          <w:bCs/>
          <w:color w:val="000000"/>
          <w:kern w:val="2"/>
          <w:sz w:val="21"/>
          <w:szCs w:val="21"/>
          <w:highlight w:val="none"/>
          <w:u w:val="single"/>
          <w:lang w:val="en-US" w:eastAsia="zh-CN"/>
        </w:rPr>
        <w:t>2.4</w:t>
      </w:r>
      <w:r>
        <w:rPr>
          <w:rFonts w:hint="eastAsia" w:ascii="宋体" w:hAnsi="宋体" w:eastAsia="宋体" w:cs="宋体"/>
          <w:b/>
          <w:bCs/>
          <w:color w:val="000000"/>
          <w:kern w:val="2"/>
          <w:sz w:val="21"/>
          <w:szCs w:val="21"/>
          <w:highlight w:val="none"/>
          <w:u w:val="single"/>
        </w:rPr>
        <w:t>由广东省或广州市法定计量机构对仪器进行检定或校准，并出具检定或校准证书,费用由</w:t>
      </w:r>
      <w:r>
        <w:rPr>
          <w:rFonts w:hint="eastAsia" w:ascii="宋体" w:hAnsi="宋体" w:eastAsia="宋体" w:cs="宋体"/>
          <w:b/>
          <w:bCs/>
          <w:color w:val="000000"/>
          <w:kern w:val="2"/>
          <w:sz w:val="21"/>
          <w:szCs w:val="21"/>
          <w:highlight w:val="none"/>
          <w:u w:val="single"/>
          <w:lang w:eastAsia="zh-CN"/>
        </w:rPr>
        <w:t>成交供应商</w:t>
      </w:r>
      <w:r>
        <w:rPr>
          <w:rFonts w:hint="eastAsia" w:ascii="宋体" w:hAnsi="宋体" w:eastAsia="宋体" w:cs="宋体"/>
          <w:b/>
          <w:bCs/>
          <w:color w:val="000000"/>
          <w:kern w:val="2"/>
          <w:sz w:val="21"/>
          <w:szCs w:val="21"/>
          <w:highlight w:val="none"/>
          <w:u w:val="single"/>
        </w:rPr>
        <w:t>负责。</w:t>
      </w:r>
    </w:p>
    <w:p w14:paraId="55D5FCF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lang w:val="en-US" w:eastAsia="zh-CN"/>
        </w:rPr>
      </w:pPr>
    </w:p>
    <w:p w14:paraId="69130D3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rPr>
      </w:pPr>
      <w:r>
        <w:rPr>
          <w:rFonts w:hint="eastAsia" w:ascii="宋体" w:hAnsi="宋体" w:cs="宋体"/>
          <w:b/>
          <w:bCs/>
          <w:color w:val="000000"/>
          <w:kern w:val="2"/>
          <w:sz w:val="21"/>
          <w:szCs w:val="21"/>
          <w:highlight w:val="none"/>
          <w:lang w:val="en-US" w:eastAsia="zh-CN"/>
        </w:rPr>
        <w:t>4</w:t>
      </w:r>
      <w:r>
        <w:rPr>
          <w:rFonts w:hint="eastAsia" w:ascii="宋体" w:hAnsi="宋体" w:eastAsia="宋体" w:cs="宋体"/>
          <w:b/>
          <w:bCs/>
          <w:color w:val="000000"/>
          <w:kern w:val="2"/>
          <w:sz w:val="21"/>
          <w:szCs w:val="21"/>
          <w:highlight w:val="none"/>
          <w:lang w:val="en-US" w:eastAsia="zh-CN"/>
        </w:rPr>
        <w:t>.</w:t>
      </w:r>
      <w:r>
        <w:rPr>
          <w:rFonts w:hint="eastAsia" w:ascii="宋体" w:hAnsi="宋体" w:eastAsia="宋体" w:cs="宋体"/>
          <w:b/>
          <w:bCs/>
          <w:color w:val="000000"/>
          <w:kern w:val="2"/>
          <w:sz w:val="21"/>
          <w:szCs w:val="21"/>
          <w:highlight w:val="none"/>
        </w:rPr>
        <w:t>付款方式</w:t>
      </w:r>
    </w:p>
    <w:p w14:paraId="7C551D6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000000"/>
          <w:kern w:val="2"/>
          <w:sz w:val="21"/>
          <w:szCs w:val="21"/>
          <w:highlight w:val="none"/>
          <w:lang w:val="en-US" w:eastAsia="zh-CN"/>
        </w:rPr>
      </w:pPr>
      <w:r>
        <w:rPr>
          <w:rFonts w:hint="eastAsia" w:ascii="宋体" w:hAnsi="宋体" w:cs="宋体"/>
          <w:color w:val="000000"/>
          <w:kern w:val="2"/>
          <w:sz w:val="21"/>
          <w:szCs w:val="21"/>
          <w:highlight w:val="none"/>
          <w:lang w:val="en-US" w:eastAsia="zh-CN"/>
        </w:rPr>
        <w:t>4</w:t>
      </w:r>
      <w:r>
        <w:rPr>
          <w:rFonts w:hint="eastAsia" w:ascii="宋体" w:hAnsi="宋体" w:eastAsia="宋体" w:cs="宋体"/>
          <w:color w:val="000000"/>
          <w:kern w:val="2"/>
          <w:sz w:val="21"/>
          <w:szCs w:val="21"/>
          <w:highlight w:val="none"/>
          <w:lang w:val="en-US" w:eastAsia="zh-CN"/>
        </w:rPr>
        <w:t>.1签定合同后且收到</w:t>
      </w:r>
      <w:r>
        <w:rPr>
          <w:rFonts w:hint="eastAsia" w:ascii="宋体" w:hAnsi="宋体" w:cs="宋体"/>
          <w:color w:val="000000"/>
          <w:kern w:val="2"/>
          <w:sz w:val="21"/>
          <w:szCs w:val="21"/>
          <w:highlight w:val="none"/>
          <w:lang w:val="en-US" w:eastAsia="zh-CN"/>
        </w:rPr>
        <w:t>供应商</w:t>
      </w:r>
      <w:r>
        <w:rPr>
          <w:rFonts w:hint="eastAsia" w:ascii="宋体" w:hAnsi="宋体" w:eastAsia="宋体" w:cs="宋体"/>
          <w:color w:val="000000"/>
          <w:kern w:val="2"/>
          <w:sz w:val="21"/>
          <w:szCs w:val="21"/>
          <w:highlight w:val="none"/>
          <w:lang w:val="en-US" w:eastAsia="zh-CN"/>
        </w:rPr>
        <w:t>出具的合法等额有效发票5个工作日内，采购人办理预付合同总金额50%的支付手续；货物全部安装、调试和验收完毕后，采购人在15个工作日之内办理合同总金额</w:t>
      </w:r>
      <w:r>
        <w:rPr>
          <w:rFonts w:hint="eastAsia" w:ascii="宋体" w:hAnsi="宋体" w:cs="宋体"/>
          <w:color w:val="000000"/>
          <w:kern w:val="2"/>
          <w:sz w:val="21"/>
          <w:szCs w:val="21"/>
          <w:highlight w:val="none"/>
          <w:lang w:val="en-US" w:eastAsia="zh-CN"/>
        </w:rPr>
        <w:t>50</w:t>
      </w:r>
      <w:r>
        <w:rPr>
          <w:rFonts w:hint="eastAsia" w:ascii="宋体" w:hAnsi="宋体" w:eastAsia="宋体" w:cs="宋体"/>
          <w:color w:val="000000"/>
          <w:kern w:val="2"/>
          <w:sz w:val="21"/>
          <w:szCs w:val="21"/>
          <w:highlight w:val="none"/>
          <w:lang w:val="en-US" w:eastAsia="zh-CN"/>
        </w:rPr>
        <w:t>%的支付手续。</w:t>
      </w:r>
    </w:p>
    <w:p w14:paraId="6487FC2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color w:val="000000"/>
          <w:kern w:val="2"/>
          <w:sz w:val="21"/>
          <w:szCs w:val="21"/>
          <w:highlight w:val="none"/>
          <w:lang w:val="en-US" w:eastAsia="zh-CN"/>
        </w:rPr>
      </w:pPr>
      <w:r>
        <w:rPr>
          <w:rFonts w:hint="eastAsia" w:ascii="宋体" w:hAnsi="宋体" w:cs="宋体"/>
          <w:color w:val="000000"/>
          <w:kern w:val="2"/>
          <w:sz w:val="21"/>
          <w:szCs w:val="21"/>
          <w:highlight w:val="none"/>
          <w:lang w:val="en-US" w:eastAsia="zh-CN"/>
        </w:rPr>
        <w:t>4</w:t>
      </w:r>
      <w:r>
        <w:rPr>
          <w:rFonts w:hint="eastAsia" w:ascii="宋体" w:hAnsi="宋体" w:eastAsia="宋体" w:cs="宋体"/>
          <w:color w:val="000000"/>
          <w:kern w:val="2"/>
          <w:sz w:val="21"/>
          <w:szCs w:val="21"/>
          <w:highlight w:val="none"/>
          <w:lang w:val="en-US" w:eastAsia="zh-CN"/>
        </w:rPr>
        <w:t>.2成交供应商在采购人办理付款手续前提供相应额度的发票。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48B4261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rPr>
          <w:rFonts w:hint="eastAsia" w:ascii="宋体" w:hAnsi="宋体" w:eastAsia="宋体" w:cs="宋体"/>
          <w:b/>
          <w:bCs/>
          <w:color w:val="000000"/>
          <w:kern w:val="2"/>
          <w:sz w:val="21"/>
          <w:szCs w:val="21"/>
          <w:highlight w:val="none"/>
          <w:lang w:val="en-US" w:eastAsia="zh-CN"/>
        </w:rPr>
      </w:pPr>
    </w:p>
    <w:p w14:paraId="14BEBF0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lang w:val="zh-CN"/>
        </w:rPr>
      </w:pPr>
      <w:r>
        <w:rPr>
          <w:rFonts w:hint="eastAsia" w:ascii="宋体" w:hAnsi="宋体" w:cs="宋体"/>
          <w:b/>
          <w:bCs/>
          <w:color w:val="000000"/>
          <w:kern w:val="2"/>
          <w:sz w:val="21"/>
          <w:szCs w:val="21"/>
          <w:highlight w:val="none"/>
          <w:lang w:val="en-US" w:eastAsia="zh-CN"/>
        </w:rPr>
        <w:t>5</w:t>
      </w:r>
      <w:r>
        <w:rPr>
          <w:rFonts w:hint="eastAsia" w:ascii="宋体" w:hAnsi="宋体" w:eastAsia="宋体" w:cs="宋体"/>
          <w:b/>
          <w:bCs/>
          <w:color w:val="000000"/>
          <w:kern w:val="2"/>
          <w:sz w:val="21"/>
          <w:szCs w:val="21"/>
          <w:highlight w:val="none"/>
          <w:lang w:val="en-US" w:eastAsia="zh-CN"/>
        </w:rPr>
        <w:t>.质量控制要求</w:t>
      </w:r>
      <w:r>
        <w:rPr>
          <w:rFonts w:hint="eastAsia" w:ascii="宋体" w:hAnsi="宋体" w:eastAsia="宋体" w:cs="宋体"/>
          <w:b/>
          <w:bCs/>
          <w:color w:val="000000"/>
          <w:kern w:val="2"/>
          <w:sz w:val="21"/>
          <w:szCs w:val="21"/>
          <w:highlight w:val="none"/>
          <w:lang w:val="zh-CN"/>
        </w:rPr>
        <w:t>：</w:t>
      </w:r>
    </w:p>
    <w:p w14:paraId="0227F65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5</w:t>
      </w:r>
      <w:r>
        <w:rPr>
          <w:rFonts w:hint="eastAsia" w:ascii="宋体" w:hAnsi="宋体" w:eastAsia="宋体" w:cs="宋体"/>
          <w:b w:val="0"/>
          <w:bCs w:val="0"/>
          <w:color w:val="000000"/>
          <w:kern w:val="2"/>
          <w:sz w:val="21"/>
          <w:szCs w:val="21"/>
          <w:highlight w:val="none"/>
          <w:lang w:val="en-US" w:eastAsia="zh-CN"/>
        </w:rPr>
        <w:t xml:space="preserve">.1供应商必须承诺提供生产厂商原装、全新的、符合国家及用户提出的有关质量标准的产品，并按采购文件要求附带相关的合法生产厂商证明文件。 </w:t>
      </w:r>
    </w:p>
    <w:p w14:paraId="71ACC3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5</w:t>
      </w:r>
      <w:r>
        <w:rPr>
          <w:rFonts w:hint="eastAsia" w:ascii="宋体" w:hAnsi="宋体" w:eastAsia="宋体" w:cs="宋体"/>
          <w:b w:val="0"/>
          <w:bCs w:val="0"/>
          <w:color w:val="000000"/>
          <w:kern w:val="2"/>
          <w:sz w:val="21"/>
          <w:szCs w:val="21"/>
          <w:highlight w:val="none"/>
          <w:lang w:val="en-US" w:eastAsia="zh-CN"/>
        </w:rPr>
        <w:t>.2供应商必须承诺所提供产品符合国家或行业标准，以及采购人提出的有关应用需求，且不存在第三方侵权行为。</w:t>
      </w:r>
    </w:p>
    <w:p w14:paraId="7A83AF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eastAsia="zh-CN"/>
        </w:rPr>
      </w:pPr>
    </w:p>
    <w:p w14:paraId="3991B90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lang w:val="zh-CN"/>
        </w:rPr>
      </w:pPr>
      <w:r>
        <w:rPr>
          <w:rFonts w:hint="eastAsia" w:ascii="宋体" w:hAnsi="宋体" w:cs="宋体"/>
          <w:b/>
          <w:bCs/>
          <w:color w:val="000000"/>
          <w:kern w:val="2"/>
          <w:sz w:val="21"/>
          <w:szCs w:val="21"/>
          <w:highlight w:val="none"/>
          <w:lang w:val="en-US" w:eastAsia="zh-CN"/>
        </w:rPr>
        <w:t>6</w:t>
      </w:r>
      <w:r>
        <w:rPr>
          <w:rFonts w:hint="eastAsia" w:ascii="宋体" w:hAnsi="宋体" w:eastAsia="宋体" w:cs="宋体"/>
          <w:b/>
          <w:bCs/>
          <w:color w:val="000000"/>
          <w:kern w:val="2"/>
          <w:sz w:val="21"/>
          <w:szCs w:val="21"/>
          <w:highlight w:val="none"/>
          <w:lang w:val="en-US" w:eastAsia="zh-CN"/>
        </w:rPr>
        <w:t>.</w:t>
      </w:r>
      <w:r>
        <w:rPr>
          <w:rFonts w:hint="eastAsia" w:ascii="宋体" w:hAnsi="宋体" w:eastAsia="宋体" w:cs="宋体"/>
          <w:b/>
          <w:bCs/>
          <w:color w:val="000000"/>
          <w:kern w:val="2"/>
          <w:sz w:val="21"/>
          <w:szCs w:val="21"/>
          <w:highlight w:val="none"/>
          <w:lang w:val="zh-CN"/>
        </w:rPr>
        <w:t>货物要求</w:t>
      </w:r>
    </w:p>
    <w:p w14:paraId="481E6E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6</w:t>
      </w:r>
      <w:r>
        <w:rPr>
          <w:rFonts w:hint="eastAsia" w:ascii="宋体" w:hAnsi="宋体" w:eastAsia="宋体" w:cs="宋体"/>
          <w:b w:val="0"/>
          <w:bCs w:val="0"/>
          <w:color w:val="000000"/>
          <w:kern w:val="2"/>
          <w:sz w:val="21"/>
          <w:szCs w:val="21"/>
          <w:highlight w:val="none"/>
          <w:lang w:val="en-US" w:eastAsia="zh-CN"/>
        </w:rPr>
        <w:t>.1</w:t>
      </w:r>
      <w:r>
        <w:rPr>
          <w:rFonts w:hint="eastAsia" w:ascii="宋体" w:hAnsi="宋体" w:eastAsia="宋体" w:cs="宋体"/>
          <w:b w:val="0"/>
          <w:bCs w:val="0"/>
          <w:color w:val="000000"/>
          <w:kern w:val="2"/>
          <w:sz w:val="21"/>
          <w:szCs w:val="21"/>
          <w:highlight w:val="none"/>
          <w:lang w:val="zh-CN"/>
        </w:rPr>
        <w:t>货物为原制造商制造的全新产品，整机无污染，无侵权行为、表面无划损、无任何缺陷隐患，在中国境内可依常规安全合法使用。</w:t>
      </w:r>
    </w:p>
    <w:p w14:paraId="197C9C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6</w:t>
      </w:r>
      <w:r>
        <w:rPr>
          <w:rFonts w:hint="eastAsia" w:ascii="宋体" w:hAnsi="宋体" w:eastAsia="宋体" w:cs="宋体"/>
          <w:b w:val="0"/>
          <w:bCs w:val="0"/>
          <w:color w:val="000000"/>
          <w:kern w:val="2"/>
          <w:sz w:val="21"/>
          <w:szCs w:val="21"/>
          <w:highlight w:val="none"/>
          <w:lang w:val="en-US" w:eastAsia="zh-CN"/>
        </w:rPr>
        <w:t>.</w:t>
      </w:r>
      <w:r>
        <w:rPr>
          <w:rFonts w:hint="eastAsia" w:ascii="宋体" w:hAnsi="宋体" w:cs="宋体"/>
          <w:b w:val="0"/>
          <w:bCs w:val="0"/>
          <w:color w:val="000000"/>
          <w:kern w:val="2"/>
          <w:sz w:val="21"/>
          <w:szCs w:val="21"/>
          <w:highlight w:val="none"/>
          <w:lang w:val="en-US" w:eastAsia="zh-CN"/>
        </w:rPr>
        <w:t>2</w:t>
      </w:r>
      <w:r>
        <w:rPr>
          <w:rFonts w:hint="eastAsia" w:ascii="宋体" w:hAnsi="宋体" w:eastAsia="宋体" w:cs="宋体"/>
          <w:b w:val="0"/>
          <w:bCs w:val="0"/>
          <w:color w:val="000000"/>
          <w:kern w:val="2"/>
          <w:sz w:val="21"/>
          <w:szCs w:val="21"/>
          <w:highlight w:val="none"/>
          <w:lang w:val="zh-CN"/>
        </w:rPr>
        <w:t>货物为原厂商未启封全新包装，具出厂合格证，序列号、包装箱号与出厂批号一致，并可追索查阅。</w:t>
      </w:r>
    </w:p>
    <w:p w14:paraId="0F9073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6</w:t>
      </w:r>
      <w:r>
        <w:rPr>
          <w:rFonts w:hint="eastAsia" w:ascii="宋体" w:hAnsi="宋体" w:eastAsia="宋体" w:cs="宋体"/>
          <w:b w:val="0"/>
          <w:bCs w:val="0"/>
          <w:color w:val="000000"/>
          <w:kern w:val="2"/>
          <w:sz w:val="21"/>
          <w:szCs w:val="21"/>
          <w:highlight w:val="none"/>
          <w:lang w:val="en-US" w:eastAsia="zh-CN"/>
        </w:rPr>
        <w:t>.</w:t>
      </w: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zh-CN" w:eastAsia="zh-CN"/>
        </w:rPr>
        <w:t>成交供应商</w:t>
      </w:r>
      <w:r>
        <w:rPr>
          <w:rFonts w:hint="eastAsia" w:ascii="宋体" w:hAnsi="宋体" w:eastAsia="宋体" w:cs="宋体"/>
          <w:b w:val="0"/>
          <w:bCs w:val="0"/>
          <w:color w:val="000000"/>
          <w:kern w:val="2"/>
          <w:sz w:val="21"/>
          <w:szCs w:val="21"/>
          <w:highlight w:val="none"/>
          <w:lang w:val="zh-CN"/>
        </w:rPr>
        <w:t>应将</w:t>
      </w:r>
      <w:r>
        <w:rPr>
          <w:rFonts w:hint="eastAsia" w:ascii="宋体" w:hAnsi="宋体" w:eastAsia="宋体" w:cs="宋体"/>
          <w:b w:val="0"/>
          <w:bCs w:val="0"/>
          <w:color w:val="000000"/>
          <w:kern w:val="2"/>
          <w:sz w:val="21"/>
          <w:szCs w:val="21"/>
          <w:highlight w:val="none"/>
          <w:lang w:val="zh-CN" w:eastAsia="zh-CN"/>
        </w:rPr>
        <w:t>货物</w:t>
      </w:r>
      <w:r>
        <w:rPr>
          <w:rFonts w:hint="eastAsia" w:ascii="宋体" w:hAnsi="宋体" w:eastAsia="宋体" w:cs="宋体"/>
          <w:b w:val="0"/>
          <w:bCs w:val="0"/>
          <w:color w:val="000000"/>
          <w:kern w:val="2"/>
          <w:sz w:val="21"/>
          <w:szCs w:val="21"/>
          <w:highlight w:val="none"/>
          <w:lang w:val="zh-CN"/>
        </w:rPr>
        <w:t>的用户手册、保修手册、有关单证资料及配备件、随机工具等交付给采购人，使用操作及安全须知等重要资料应附有中文说明。</w:t>
      </w:r>
    </w:p>
    <w:p w14:paraId="5E248A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default" w:ascii="Times New Roman" w:hAnsi="Times New Roman" w:eastAsia="宋体" w:cs="宋体"/>
          <w:sz w:val="21"/>
          <w:szCs w:val="21"/>
          <w:highlight w:val="none"/>
          <w:lang w:val="en-US" w:eastAsia="zh-CN"/>
        </w:rPr>
      </w:pPr>
    </w:p>
    <w:p w14:paraId="6033837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default" w:ascii="宋体" w:hAnsi="宋体" w:eastAsia="宋体" w:cs="宋体"/>
          <w:b/>
          <w:bCs/>
          <w:color w:val="000000"/>
          <w:kern w:val="2"/>
          <w:sz w:val="21"/>
          <w:szCs w:val="21"/>
          <w:highlight w:val="none"/>
          <w:lang w:val="en-US" w:eastAsia="zh-CN"/>
        </w:rPr>
      </w:pPr>
      <w:r>
        <w:rPr>
          <w:rFonts w:hint="eastAsia" w:ascii="宋体" w:hAnsi="宋体" w:cs="宋体"/>
          <w:b/>
          <w:bCs/>
          <w:color w:val="000000"/>
          <w:kern w:val="2"/>
          <w:sz w:val="21"/>
          <w:szCs w:val="21"/>
          <w:highlight w:val="none"/>
          <w:lang w:val="en-US" w:eastAsia="zh-CN"/>
        </w:rPr>
        <w:t>7</w:t>
      </w:r>
      <w:r>
        <w:rPr>
          <w:rFonts w:hint="eastAsia" w:ascii="宋体" w:hAnsi="宋体" w:eastAsia="宋体" w:cs="宋体"/>
          <w:b/>
          <w:bCs/>
          <w:color w:val="000000"/>
          <w:kern w:val="2"/>
          <w:sz w:val="21"/>
          <w:szCs w:val="21"/>
          <w:highlight w:val="none"/>
          <w:lang w:val="en-US" w:eastAsia="zh-CN"/>
        </w:rPr>
        <w:t>.验收要求</w:t>
      </w:r>
    </w:p>
    <w:p w14:paraId="6662AEB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7</w:t>
      </w:r>
      <w:r>
        <w:rPr>
          <w:rFonts w:hint="eastAsia" w:ascii="宋体" w:hAnsi="宋体" w:eastAsia="宋体" w:cs="宋体"/>
          <w:b w:val="0"/>
          <w:bCs w:val="0"/>
          <w:color w:val="000000"/>
          <w:kern w:val="2"/>
          <w:sz w:val="21"/>
          <w:szCs w:val="21"/>
          <w:highlight w:val="none"/>
          <w:lang w:val="zh-CN"/>
        </w:rPr>
        <w:t>.1.单证齐全：应有产品合格证（或质量证明）、使用说明、保修证明、发票和其它应具有的单证。</w:t>
      </w:r>
    </w:p>
    <w:p w14:paraId="226219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7</w:t>
      </w:r>
      <w:r>
        <w:rPr>
          <w:rFonts w:hint="eastAsia" w:ascii="宋体" w:hAnsi="宋体" w:eastAsia="宋体" w:cs="宋体"/>
          <w:b w:val="0"/>
          <w:bCs w:val="0"/>
          <w:color w:val="000000"/>
          <w:kern w:val="2"/>
          <w:sz w:val="21"/>
          <w:szCs w:val="21"/>
          <w:highlight w:val="none"/>
          <w:lang w:val="zh-CN"/>
        </w:rPr>
        <w:t>.2.产品质量：应符合中华人民共和国国家安全质量标准、环保标准、行业标准或货物来源国官方标准。</w:t>
      </w:r>
    </w:p>
    <w:p w14:paraId="3E5F5DA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7</w:t>
      </w:r>
      <w:r>
        <w:rPr>
          <w:rFonts w:hint="eastAsia" w:ascii="宋体" w:hAnsi="宋体" w:eastAsia="宋体" w:cs="宋体"/>
          <w:b w:val="0"/>
          <w:bCs w:val="0"/>
          <w:color w:val="000000"/>
          <w:kern w:val="2"/>
          <w:sz w:val="21"/>
          <w:szCs w:val="21"/>
          <w:highlight w:val="none"/>
          <w:lang w:val="zh-CN"/>
        </w:rPr>
        <w:t>.3.产品所有技术性能规格及参数：应符合招标文件和中标方投标文件所要求的技术标准及生产厂商公开的宣传资料和生产厂商官方网站宣传内容的标准要求。</w:t>
      </w:r>
    </w:p>
    <w:p w14:paraId="33014B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7</w:t>
      </w:r>
      <w:r>
        <w:rPr>
          <w:rFonts w:hint="eastAsia" w:ascii="宋体" w:hAnsi="宋体" w:eastAsia="宋体" w:cs="宋体"/>
          <w:b w:val="0"/>
          <w:bCs w:val="0"/>
          <w:color w:val="000000"/>
          <w:kern w:val="2"/>
          <w:sz w:val="21"/>
          <w:szCs w:val="21"/>
          <w:highlight w:val="none"/>
          <w:lang w:val="zh-CN"/>
        </w:rPr>
        <w:t>.4.产品是全新未使用过的原厂合格正品（包括零部件），表面无划损、无任何缺陷隐患。</w:t>
      </w:r>
    </w:p>
    <w:p w14:paraId="1B987F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p>
    <w:p w14:paraId="6A40437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bCs/>
          <w:color w:val="000000"/>
          <w:kern w:val="2"/>
          <w:sz w:val="21"/>
          <w:szCs w:val="21"/>
          <w:highlight w:val="none"/>
          <w:lang w:val="zh-CN"/>
        </w:rPr>
      </w:pPr>
      <w:r>
        <w:rPr>
          <w:rFonts w:hint="eastAsia" w:ascii="宋体" w:hAnsi="宋体" w:cs="宋体"/>
          <w:b/>
          <w:bCs/>
          <w:color w:val="000000"/>
          <w:kern w:val="2"/>
          <w:sz w:val="21"/>
          <w:szCs w:val="21"/>
          <w:highlight w:val="none"/>
          <w:lang w:val="en-US" w:eastAsia="zh-CN"/>
        </w:rPr>
        <w:t>8</w:t>
      </w:r>
      <w:r>
        <w:rPr>
          <w:rFonts w:hint="eastAsia" w:ascii="宋体" w:hAnsi="宋体" w:eastAsia="宋体" w:cs="宋体"/>
          <w:b/>
          <w:bCs/>
          <w:color w:val="000000"/>
          <w:kern w:val="2"/>
          <w:sz w:val="21"/>
          <w:szCs w:val="21"/>
          <w:highlight w:val="none"/>
          <w:lang w:val="en-US" w:eastAsia="zh-CN"/>
        </w:rPr>
        <w:t>.</w:t>
      </w:r>
      <w:r>
        <w:rPr>
          <w:rFonts w:hint="eastAsia" w:ascii="宋体" w:hAnsi="宋体" w:eastAsia="宋体" w:cs="宋体"/>
          <w:b/>
          <w:bCs/>
          <w:color w:val="000000"/>
          <w:kern w:val="2"/>
          <w:sz w:val="21"/>
          <w:szCs w:val="21"/>
          <w:highlight w:val="none"/>
          <w:lang w:val="zh-CN"/>
        </w:rPr>
        <w:t>包装、保险及发运、保管要求：</w:t>
      </w:r>
    </w:p>
    <w:p w14:paraId="7DC9FC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8</w:t>
      </w:r>
      <w:r>
        <w:rPr>
          <w:rFonts w:hint="eastAsia" w:ascii="宋体" w:hAnsi="宋体" w:eastAsia="宋体" w:cs="宋体"/>
          <w:b w:val="0"/>
          <w:bCs w:val="0"/>
          <w:color w:val="000000"/>
          <w:kern w:val="2"/>
          <w:sz w:val="21"/>
          <w:szCs w:val="21"/>
          <w:highlight w:val="none"/>
          <w:lang w:val="en-US" w:eastAsia="zh-CN"/>
        </w:rPr>
        <w:t>.1</w:t>
      </w:r>
      <w:r>
        <w:rPr>
          <w:rFonts w:hint="eastAsia" w:ascii="宋体" w:hAnsi="宋体" w:eastAsia="宋体" w:cs="宋体"/>
          <w:b w:val="0"/>
          <w:bCs w:val="0"/>
          <w:color w:val="000000"/>
          <w:kern w:val="2"/>
          <w:sz w:val="21"/>
          <w:szCs w:val="21"/>
          <w:highlight w:val="none"/>
          <w:lang w:val="zh-CN"/>
        </w:rPr>
        <w:t>设备材料的包装必须是制造商原厂包装，其包装均应有良好的防湿、防锈、防潮、防雨、防腐及防碰撞的措施，符合《商品包装政府采购需求标准（试行）》及《快递包装政府采购需求标准（试行）》的要求，凡由于包装不良造成的损失和由此产生的费用均由</w:t>
      </w:r>
      <w:r>
        <w:rPr>
          <w:rFonts w:hint="eastAsia" w:ascii="宋体" w:hAnsi="宋体" w:eastAsia="宋体" w:cs="宋体"/>
          <w:b w:val="0"/>
          <w:bCs w:val="0"/>
          <w:color w:val="000000"/>
          <w:kern w:val="2"/>
          <w:sz w:val="21"/>
          <w:szCs w:val="21"/>
          <w:highlight w:val="none"/>
          <w:lang w:val="zh-CN" w:eastAsia="zh-CN"/>
        </w:rPr>
        <w:t>成交供应商</w:t>
      </w:r>
      <w:r>
        <w:rPr>
          <w:rFonts w:hint="eastAsia" w:ascii="宋体" w:hAnsi="宋体" w:eastAsia="宋体" w:cs="宋体"/>
          <w:b w:val="0"/>
          <w:bCs w:val="0"/>
          <w:color w:val="000000"/>
          <w:kern w:val="2"/>
          <w:sz w:val="21"/>
          <w:szCs w:val="21"/>
          <w:highlight w:val="none"/>
          <w:lang w:val="zh-CN"/>
        </w:rPr>
        <w:t>承担。</w:t>
      </w:r>
    </w:p>
    <w:p w14:paraId="10A22F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8</w:t>
      </w:r>
      <w:r>
        <w:rPr>
          <w:rFonts w:hint="eastAsia" w:ascii="宋体" w:hAnsi="宋体" w:eastAsia="宋体" w:cs="宋体"/>
          <w:b w:val="0"/>
          <w:bCs w:val="0"/>
          <w:color w:val="000000"/>
          <w:kern w:val="2"/>
          <w:sz w:val="21"/>
          <w:szCs w:val="21"/>
          <w:highlight w:val="none"/>
          <w:lang w:val="en-US" w:eastAsia="zh-CN"/>
        </w:rPr>
        <w:t>.2</w:t>
      </w:r>
      <w:r>
        <w:rPr>
          <w:rFonts w:hint="eastAsia" w:ascii="宋体" w:hAnsi="宋体" w:eastAsia="宋体" w:cs="宋体"/>
          <w:b w:val="0"/>
          <w:bCs w:val="0"/>
          <w:color w:val="000000"/>
          <w:kern w:val="2"/>
          <w:sz w:val="21"/>
          <w:szCs w:val="21"/>
          <w:highlight w:val="none"/>
          <w:lang w:val="zh-CN" w:eastAsia="zh-CN"/>
        </w:rPr>
        <w:t>成交供应商</w:t>
      </w:r>
      <w:r>
        <w:rPr>
          <w:rFonts w:hint="eastAsia" w:ascii="宋体" w:hAnsi="宋体" w:eastAsia="宋体" w:cs="宋体"/>
          <w:b w:val="0"/>
          <w:bCs w:val="0"/>
          <w:color w:val="000000"/>
          <w:kern w:val="2"/>
          <w:sz w:val="21"/>
          <w:szCs w:val="21"/>
          <w:highlight w:val="none"/>
          <w:lang w:val="zh-CN"/>
        </w:rPr>
        <w:t>负责将设备材料货到现场过程中的全部运输，包括装卸车、货物现场的搬运。</w:t>
      </w:r>
    </w:p>
    <w:p w14:paraId="421EF3C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8</w:t>
      </w:r>
      <w:r>
        <w:rPr>
          <w:rFonts w:hint="eastAsia" w:ascii="宋体" w:hAnsi="宋体" w:eastAsia="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zh-CN"/>
        </w:rPr>
        <w:t>货物在现场的保管由</w:t>
      </w:r>
      <w:r>
        <w:rPr>
          <w:rFonts w:hint="eastAsia" w:ascii="宋体" w:hAnsi="宋体" w:eastAsia="宋体" w:cs="宋体"/>
          <w:b w:val="0"/>
          <w:bCs w:val="0"/>
          <w:color w:val="000000"/>
          <w:kern w:val="2"/>
          <w:sz w:val="21"/>
          <w:szCs w:val="21"/>
          <w:highlight w:val="none"/>
          <w:lang w:val="zh-CN" w:eastAsia="zh-CN"/>
        </w:rPr>
        <w:t>成交供应商</w:t>
      </w:r>
      <w:r>
        <w:rPr>
          <w:rFonts w:hint="eastAsia" w:ascii="宋体" w:hAnsi="宋体" w:eastAsia="宋体" w:cs="宋体"/>
          <w:b w:val="0"/>
          <w:bCs w:val="0"/>
          <w:color w:val="000000"/>
          <w:kern w:val="2"/>
          <w:sz w:val="21"/>
          <w:szCs w:val="21"/>
          <w:highlight w:val="none"/>
          <w:lang w:val="zh-CN"/>
        </w:rPr>
        <w:t>负责，直至项目安装、验收完毕。</w:t>
      </w:r>
    </w:p>
    <w:p w14:paraId="4111DE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8</w:t>
      </w:r>
      <w:r>
        <w:rPr>
          <w:rFonts w:hint="eastAsia" w:ascii="宋体" w:hAnsi="宋体" w:eastAsia="宋体" w:cs="宋体"/>
          <w:b w:val="0"/>
          <w:bCs w:val="0"/>
          <w:color w:val="000000"/>
          <w:kern w:val="2"/>
          <w:sz w:val="21"/>
          <w:szCs w:val="21"/>
          <w:highlight w:val="none"/>
          <w:lang w:val="en-US" w:eastAsia="zh-CN"/>
        </w:rPr>
        <w:t>.4</w:t>
      </w:r>
      <w:r>
        <w:rPr>
          <w:rFonts w:hint="eastAsia" w:ascii="宋体" w:hAnsi="宋体" w:eastAsia="宋体" w:cs="宋体"/>
          <w:b w:val="0"/>
          <w:bCs w:val="0"/>
          <w:color w:val="000000"/>
          <w:kern w:val="2"/>
          <w:sz w:val="21"/>
          <w:szCs w:val="21"/>
          <w:highlight w:val="none"/>
          <w:lang w:val="zh-CN"/>
        </w:rPr>
        <w:t>货物在系统安装调试验收合格前的保险由</w:t>
      </w:r>
      <w:r>
        <w:rPr>
          <w:rFonts w:hint="eastAsia" w:ascii="宋体" w:hAnsi="宋体" w:eastAsia="宋体" w:cs="宋体"/>
          <w:b w:val="0"/>
          <w:bCs w:val="0"/>
          <w:color w:val="000000"/>
          <w:kern w:val="2"/>
          <w:sz w:val="21"/>
          <w:szCs w:val="21"/>
          <w:highlight w:val="none"/>
          <w:lang w:val="zh-CN" w:eastAsia="zh-CN"/>
        </w:rPr>
        <w:t>成交供应商</w:t>
      </w:r>
      <w:r>
        <w:rPr>
          <w:rFonts w:hint="eastAsia" w:ascii="宋体" w:hAnsi="宋体" w:eastAsia="宋体" w:cs="宋体"/>
          <w:b w:val="0"/>
          <w:bCs w:val="0"/>
          <w:color w:val="000000"/>
          <w:kern w:val="2"/>
          <w:sz w:val="21"/>
          <w:szCs w:val="21"/>
          <w:highlight w:val="none"/>
          <w:lang w:val="zh-CN"/>
        </w:rPr>
        <w:t>负责，</w:t>
      </w:r>
      <w:r>
        <w:rPr>
          <w:rFonts w:hint="eastAsia" w:ascii="宋体" w:hAnsi="宋体" w:eastAsia="宋体" w:cs="宋体"/>
          <w:b w:val="0"/>
          <w:bCs w:val="0"/>
          <w:color w:val="000000"/>
          <w:kern w:val="2"/>
          <w:sz w:val="21"/>
          <w:szCs w:val="21"/>
          <w:highlight w:val="none"/>
          <w:lang w:val="zh-CN" w:eastAsia="zh-CN"/>
        </w:rPr>
        <w:t>成交供应商</w:t>
      </w:r>
      <w:r>
        <w:rPr>
          <w:rFonts w:hint="eastAsia" w:ascii="宋体" w:hAnsi="宋体" w:eastAsia="宋体" w:cs="宋体"/>
          <w:b w:val="0"/>
          <w:bCs w:val="0"/>
          <w:color w:val="000000"/>
          <w:kern w:val="2"/>
          <w:sz w:val="21"/>
          <w:szCs w:val="21"/>
          <w:highlight w:val="none"/>
          <w:lang w:val="zh-CN"/>
        </w:rPr>
        <w:t>负责其派出的现场服务人员人身意外保险。</w:t>
      </w:r>
    </w:p>
    <w:p w14:paraId="03A20599">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s="宋体"/>
          <w:b w:val="0"/>
          <w:bCs w:val="0"/>
          <w:color w:val="000000"/>
          <w:kern w:val="2"/>
          <w:sz w:val="21"/>
          <w:szCs w:val="21"/>
          <w:highlight w:val="none"/>
          <w:lang w:val="zh-CN"/>
        </w:rPr>
      </w:pPr>
      <w:r>
        <w:rPr>
          <w:rFonts w:hint="eastAsia" w:ascii="宋体" w:hAnsi="宋体" w:cs="宋体"/>
          <w:b w:val="0"/>
          <w:bCs w:val="0"/>
          <w:color w:val="000000"/>
          <w:kern w:val="2"/>
          <w:sz w:val="21"/>
          <w:szCs w:val="21"/>
          <w:highlight w:val="none"/>
          <w:lang w:val="en-US" w:eastAsia="zh-CN"/>
        </w:rPr>
        <w:t>8</w:t>
      </w:r>
      <w:r>
        <w:rPr>
          <w:rFonts w:hint="eastAsia" w:ascii="宋体" w:hAnsi="宋体" w:eastAsia="宋体" w:cs="宋体"/>
          <w:b w:val="0"/>
          <w:bCs w:val="0"/>
          <w:color w:val="000000"/>
          <w:kern w:val="2"/>
          <w:sz w:val="21"/>
          <w:szCs w:val="21"/>
          <w:highlight w:val="none"/>
          <w:lang w:val="en-US" w:eastAsia="zh-CN"/>
        </w:rPr>
        <w:t>.5</w:t>
      </w:r>
      <w:r>
        <w:rPr>
          <w:rFonts w:hint="eastAsia" w:ascii="宋体" w:hAnsi="宋体" w:eastAsia="宋体" w:cs="宋体"/>
          <w:b w:val="0"/>
          <w:bCs w:val="0"/>
          <w:color w:val="000000"/>
          <w:kern w:val="2"/>
          <w:sz w:val="21"/>
          <w:szCs w:val="21"/>
          <w:highlight w:val="none"/>
          <w:lang w:val="zh-CN"/>
        </w:rPr>
        <w:t>设备至采购人指定的使用现场的包装、保险及发运等环节和费用均由</w:t>
      </w:r>
      <w:r>
        <w:rPr>
          <w:rFonts w:hint="eastAsia" w:ascii="宋体" w:hAnsi="宋体" w:eastAsia="宋体" w:cs="宋体"/>
          <w:b w:val="0"/>
          <w:bCs w:val="0"/>
          <w:color w:val="000000"/>
          <w:kern w:val="2"/>
          <w:sz w:val="21"/>
          <w:szCs w:val="21"/>
          <w:highlight w:val="none"/>
          <w:lang w:val="zh-CN" w:eastAsia="zh-CN"/>
        </w:rPr>
        <w:t>成交供应商</w:t>
      </w:r>
      <w:r>
        <w:rPr>
          <w:rFonts w:hint="eastAsia" w:ascii="宋体" w:hAnsi="宋体" w:eastAsia="宋体" w:cs="宋体"/>
          <w:b w:val="0"/>
          <w:bCs w:val="0"/>
          <w:color w:val="000000"/>
          <w:kern w:val="2"/>
          <w:sz w:val="21"/>
          <w:szCs w:val="21"/>
          <w:highlight w:val="none"/>
          <w:lang w:val="zh-CN"/>
        </w:rPr>
        <w:t>负责。</w:t>
      </w:r>
    </w:p>
    <w:p w14:paraId="5523256C">
      <w:pPr>
        <w:pStyle w:val="2"/>
        <w:rPr>
          <w:rFonts w:hint="eastAsia"/>
          <w:highlight w:val="none"/>
          <w:lang w:val="zh-CN"/>
        </w:rPr>
      </w:pPr>
    </w:p>
    <w:p w14:paraId="479F182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rPr>
          <w:rFonts w:hint="eastAsia" w:ascii="宋体" w:hAnsi="宋体" w:eastAsia="宋体" w:cs="宋体"/>
          <w:b w:val="0"/>
          <w:bCs w:val="0"/>
          <w:color w:val="000000"/>
          <w:kern w:val="2"/>
          <w:sz w:val="21"/>
          <w:szCs w:val="21"/>
          <w:highlight w:val="none"/>
          <w:lang w:val="zh-CN"/>
        </w:rPr>
      </w:pPr>
      <w:r>
        <w:rPr>
          <w:rFonts w:hint="eastAsia" w:ascii="宋体" w:hAnsi="宋体" w:cs="宋体"/>
          <w:b/>
          <w:bCs/>
          <w:color w:val="000000"/>
          <w:kern w:val="2"/>
          <w:sz w:val="21"/>
          <w:szCs w:val="21"/>
          <w:highlight w:val="none"/>
          <w:lang w:val="en-US" w:eastAsia="zh-CN"/>
        </w:rPr>
        <w:t>9</w:t>
      </w:r>
      <w:r>
        <w:rPr>
          <w:rFonts w:hint="eastAsia" w:ascii="宋体" w:hAnsi="宋体" w:eastAsia="宋体" w:cs="宋体"/>
          <w:b/>
          <w:bCs/>
          <w:color w:val="000000"/>
          <w:kern w:val="2"/>
          <w:sz w:val="21"/>
          <w:szCs w:val="21"/>
          <w:highlight w:val="none"/>
          <w:lang w:val="en-US" w:eastAsia="zh-CN"/>
        </w:rPr>
        <w:t>.培训要求</w:t>
      </w:r>
    </w:p>
    <w:p w14:paraId="7957D3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9</w:t>
      </w:r>
      <w:r>
        <w:rPr>
          <w:rFonts w:hint="eastAsia" w:ascii="宋体" w:hAnsi="宋体" w:eastAsia="宋体" w:cs="宋体"/>
          <w:b w:val="0"/>
          <w:bCs w:val="0"/>
          <w:color w:val="000000"/>
          <w:kern w:val="2"/>
          <w:sz w:val="21"/>
          <w:szCs w:val="21"/>
          <w:highlight w:val="none"/>
          <w:lang w:val="en-US" w:eastAsia="zh-CN"/>
        </w:rPr>
        <w:t>.1现场培训：供货商在设备的安装、调试、验收完毕后即进行现场免费培训直至采购人基本掌握运行操作、维修保养技术。</w:t>
      </w:r>
    </w:p>
    <w:p w14:paraId="7C4CA0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hint="eastAsia" w:ascii="宋体" w:hAnsi="宋体" w:eastAsia="宋体" w:cs="宋体"/>
          <w:b w:val="0"/>
          <w:bCs w:val="0"/>
          <w:color w:val="000000"/>
          <w:kern w:val="2"/>
          <w:sz w:val="21"/>
          <w:szCs w:val="21"/>
          <w:highlight w:val="none"/>
          <w:lang w:val="en-US" w:eastAsia="zh-CN"/>
        </w:rPr>
      </w:pPr>
      <w:r>
        <w:rPr>
          <w:rFonts w:hint="eastAsia" w:ascii="宋体" w:hAnsi="宋体" w:cs="宋体"/>
          <w:b w:val="0"/>
          <w:bCs w:val="0"/>
          <w:color w:val="000000"/>
          <w:kern w:val="2"/>
          <w:sz w:val="21"/>
          <w:szCs w:val="21"/>
          <w:highlight w:val="none"/>
          <w:lang w:val="en-US" w:eastAsia="zh-CN"/>
        </w:rPr>
        <w:t>9</w:t>
      </w:r>
      <w:r>
        <w:rPr>
          <w:rFonts w:hint="eastAsia" w:ascii="宋体" w:hAnsi="宋体" w:eastAsia="宋体" w:cs="宋体"/>
          <w:b w:val="0"/>
          <w:bCs w:val="0"/>
          <w:color w:val="000000"/>
          <w:kern w:val="2"/>
          <w:sz w:val="21"/>
          <w:szCs w:val="21"/>
          <w:highlight w:val="none"/>
          <w:lang w:val="en-US" w:eastAsia="zh-CN"/>
        </w:rPr>
        <w:t>.2专门培训：离子色谱仪厂家在国内应设有培训中心，提供2个省内免费培训名额，使采购人达到能独立、熟练操作的程度，培训时间应不少于3天。</w:t>
      </w:r>
    </w:p>
    <w:p w14:paraId="153AC493">
      <w:pPr>
        <w:pStyle w:val="7"/>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9607">
    <w:pPr>
      <w:pStyle w:val="10"/>
      <w:framePr w:wrap="around" w:vAnchor="text" w:hAnchor="margin" w:xAlign="right" w:y="1"/>
      <w:rPr>
        <w:rStyle w:val="19"/>
      </w:rPr>
    </w:pPr>
  </w:p>
  <w:p w14:paraId="736D7215">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0C5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49F60"/>
    <w:multiLevelType w:val="singleLevel"/>
    <w:tmpl w:val="1C949F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MGJiZWI4MGYyYjgyY2M4OTBjOTZiMTc5OTI5MGEifQ=="/>
  </w:docVars>
  <w:rsids>
    <w:rsidRoot w:val="1A6D3616"/>
    <w:rsid w:val="010E1062"/>
    <w:rsid w:val="023F0464"/>
    <w:rsid w:val="09852985"/>
    <w:rsid w:val="0DB02EB9"/>
    <w:rsid w:val="108A7C38"/>
    <w:rsid w:val="119A2039"/>
    <w:rsid w:val="12DF07CD"/>
    <w:rsid w:val="177358C1"/>
    <w:rsid w:val="18B53FD0"/>
    <w:rsid w:val="19332CED"/>
    <w:rsid w:val="19D8C1A9"/>
    <w:rsid w:val="1A6D3616"/>
    <w:rsid w:val="1E71559C"/>
    <w:rsid w:val="207C0CD0"/>
    <w:rsid w:val="2F0D7836"/>
    <w:rsid w:val="333F7278"/>
    <w:rsid w:val="36B754DE"/>
    <w:rsid w:val="37FFDBBA"/>
    <w:rsid w:val="390936A1"/>
    <w:rsid w:val="39FA4408"/>
    <w:rsid w:val="3B7C7328"/>
    <w:rsid w:val="3BBF64C5"/>
    <w:rsid w:val="3BFB1F65"/>
    <w:rsid w:val="3DAC3DA2"/>
    <w:rsid w:val="3DFA233B"/>
    <w:rsid w:val="3E487752"/>
    <w:rsid w:val="3E90632A"/>
    <w:rsid w:val="400A2EAE"/>
    <w:rsid w:val="406A3AD1"/>
    <w:rsid w:val="41CC65C4"/>
    <w:rsid w:val="425B4B5E"/>
    <w:rsid w:val="43373ECA"/>
    <w:rsid w:val="45EF523C"/>
    <w:rsid w:val="4AB92FA3"/>
    <w:rsid w:val="4AFF1903"/>
    <w:rsid w:val="4D0D7A5D"/>
    <w:rsid w:val="4F241FA0"/>
    <w:rsid w:val="502B49B8"/>
    <w:rsid w:val="581B714A"/>
    <w:rsid w:val="585256BE"/>
    <w:rsid w:val="58C215D3"/>
    <w:rsid w:val="5B6C7C8B"/>
    <w:rsid w:val="5CF7A528"/>
    <w:rsid w:val="5F8F0112"/>
    <w:rsid w:val="61975A3E"/>
    <w:rsid w:val="64E50683"/>
    <w:rsid w:val="65A407FD"/>
    <w:rsid w:val="6A3D3DD2"/>
    <w:rsid w:val="6EFE8052"/>
    <w:rsid w:val="713E6156"/>
    <w:rsid w:val="72CB0661"/>
    <w:rsid w:val="7398CEA5"/>
    <w:rsid w:val="74042F8C"/>
    <w:rsid w:val="776FDDD8"/>
    <w:rsid w:val="7BFEA7B5"/>
    <w:rsid w:val="7CF64ADD"/>
    <w:rsid w:val="7EFF2151"/>
    <w:rsid w:val="7F6BE487"/>
    <w:rsid w:val="7FEFB605"/>
    <w:rsid w:val="975EB4DD"/>
    <w:rsid w:val="9B3725AE"/>
    <w:rsid w:val="AF67022E"/>
    <w:rsid w:val="BBBE089D"/>
    <w:rsid w:val="D5A742DD"/>
    <w:rsid w:val="D6FFEBBA"/>
    <w:rsid w:val="E7FB4906"/>
    <w:rsid w:val="F4DE708D"/>
    <w:rsid w:val="F6E3533A"/>
    <w:rsid w:val="F7DFCEBC"/>
    <w:rsid w:val="F965B001"/>
    <w:rsid w:val="FBDD8D7E"/>
    <w:rsid w:val="FBFF25B5"/>
    <w:rsid w:val="FEFFE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caption"/>
    <w:basedOn w:val="1"/>
    <w:next w:val="1"/>
    <w:qFormat/>
    <w:uiPriority w:val="0"/>
    <w:rPr>
      <w:rFonts w:ascii="Cambria" w:hAnsi="Cambria" w:eastAsia="黑体"/>
      <w:sz w:val="20"/>
    </w:rPr>
  </w:style>
  <w:style w:type="paragraph" w:styleId="6">
    <w:name w:val="annotation text"/>
    <w:basedOn w:val="1"/>
    <w:qFormat/>
    <w:uiPriority w:val="99"/>
    <w:pPr>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toc 4"/>
    <w:basedOn w:val="1"/>
    <w:next w:val="1"/>
    <w:unhideWhenUsed/>
    <w:qFormat/>
    <w:uiPriority w:val="39"/>
    <w:pPr>
      <w:widowControl w:val="0"/>
      <w:ind w:left="1260" w:leftChars="600"/>
      <w:jc w:val="both"/>
    </w:pPr>
    <w:rPr>
      <w:rFonts w:ascii="Calibri" w:hAnsi="Calibri"/>
      <w:kern w:val="2"/>
      <w:szCs w:val="2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7"/>
    <w:next w:val="14"/>
    <w:qFormat/>
    <w:uiPriority w:val="0"/>
    <w:pPr>
      <w:widowControl w:val="0"/>
      <w:ind w:firstLine="420" w:firstLineChars="100"/>
      <w:jc w:val="both"/>
    </w:pPr>
    <w:rPr>
      <w:kern w:val="2"/>
      <w:szCs w:val="24"/>
    </w:rPr>
  </w:style>
  <w:style w:type="paragraph" w:styleId="14">
    <w:name w:val="Body Text First Indent 2"/>
    <w:basedOn w:val="8"/>
    <w:next w:val="7"/>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paragraph" w:customStyle="1" w:styleId="20">
    <w:name w:val="表格文字"/>
    <w:basedOn w:val="1"/>
    <w:next w:val="7"/>
    <w:qFormat/>
    <w:uiPriority w:val="0"/>
    <w:pPr>
      <w:widowControl w:val="0"/>
      <w:spacing w:before="25" w:after="25" w:line="300" w:lineRule="auto"/>
      <w:jc w:val="both"/>
    </w:pPr>
    <w:rPr>
      <w:rFonts w:ascii="宋体" w:hAnsi="宋体"/>
      <w:spacing w:val="10"/>
      <w:sz w:val="24"/>
    </w:rPr>
  </w:style>
  <w:style w:type="paragraph" w:styleId="21">
    <w:name w:val="List Paragraph"/>
    <w:basedOn w:val="1"/>
    <w:qFormat/>
    <w:uiPriority w:val="34"/>
    <w:pPr>
      <w:ind w:firstLine="420" w:firstLineChars="200"/>
    </w:pPr>
  </w:style>
  <w:style w:type="paragraph" w:customStyle="1" w:styleId="22">
    <w:name w:val="Table Paragraph"/>
    <w:basedOn w:val="1"/>
    <w:qFormat/>
    <w:uiPriority w:val="1"/>
    <w:rPr>
      <w:rFonts w:ascii="宋体" w:hAnsi="宋体" w:eastAsia="宋体" w:cs="宋体"/>
      <w:lang w:val="zh-CN" w:bidi="zh-CN"/>
    </w:rPr>
  </w:style>
  <w:style w:type="paragraph" w:customStyle="1" w:styleId="23">
    <w:name w:val="表头"/>
    <w:basedOn w:val="5"/>
    <w:qFormat/>
    <w:uiPriority w:val="0"/>
    <w:pPr>
      <w:keepNext/>
      <w:keepLines/>
      <w:spacing w:before="120" w:after="120" w:line="300" w:lineRule="auto"/>
      <w:jc w:val="center"/>
      <w:textAlignment w:val="baseline"/>
    </w:pPr>
    <w:rPr>
      <w:rFonts w:ascii="Arial" w:hAnsi="Arial"/>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3504</Words>
  <Characters>3591</Characters>
  <Lines>0</Lines>
  <Paragraphs>0</Paragraphs>
  <TotalTime>2</TotalTime>
  <ScaleCrop>false</ScaleCrop>
  <LinksUpToDate>false</LinksUpToDate>
  <CharactersWithSpaces>3599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2023-05-12T13:42:00Z</dcterms:created>
  <dc:creator>7R,</dc:creator>
  <cp:lastModifiedBy>Administrator</cp:lastModifiedBy>
  <cp:lastPrinted>2024-02-27T03:59:00Z</cp:lastPrinted>
  <dcterms:modified xsi:type="dcterms:W3CDTF">2025-06-09T03:49:09Z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878F9A8C28F28028C39CA065A74E56FF</vt:lpwstr>
  </property>
</Properties>
</file>