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01pS1gAAAAgBAAAPAAAAAAAAAAEAIAAA&#10;ACIAAABkcnMvZG93bnJldi54bWxQSwECFAAUAAAACACHTuJAq8yu+w4CAAAFBAAADgAAAAAAAAAB&#10;ACAAAAAlAQAAZHJzL2Uyb0RvYy54bWxQSwUGAAAAAAYABgBZAQAApQUAAAAA&#10;">
                <v:fill on="f" focussize="0,0"/>
                <v:stroke on="f"/>
                <v:imagedata o:title=""/>
                <o:lock v:ext="edit" aspectratio="f"/>
                <v:textbox inset="0mm,0mm,0mm,0mm">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9o+W/XAAAA&#10;CAEAAA8AAAAAAAAAAQAgAAAAIgAAAGRycy9kb3ducmV2LnhtbFBLAQIUABQAAAAIAIdO4kA1VZ3b&#10;5QEAAKsDAAAOAAAAAAAAAAEAIAAAACYBAABkcnMvZTJvRG9jLnhtbFBLBQYAAAAABgAGAFkBAAB9&#10;BQ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NUpVNYAAAAIAQAADwAAAAAAAAABACAAAAAi&#10;AAAAZHJzL2Rvd25yZXYueG1sUEsBAhQAFAAAAAgAh07iQF/bISwMAgAABQQAAA4AAAAAAAAAAQAg&#10;AAAAJQEAAGRycy9lMm9Eb2MueG1sUEsFBgAAAAAGAAYAWQEAAKMFA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1OvvrYAAAACQEAAA8AAAAAAAAAAQAgAAAA&#10;IgAAAGRycy9kb3ducmV2LnhtbFBLAQIUABQAAAAIAIdO4kBHa1KQCwIAAAUEAAAOAAAAAAAAAAEA&#10;IAAAACcBAABkcnMvZTJvRG9jLnhtbFBLBQYAAAAABgAGAFkBAACkBQAAAAA=&#10;">
                <v:fill on="f" focussize="0,0"/>
                <v:stroke on="f"/>
                <v:imagedata o:title=""/>
                <o:lock v:ext="edit" aspectratio="f"/>
                <v:textbox inset="0mm,0mm,0mm,0mm">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ascii="宋体" w:hAnsi="宋体"/>
                          <w:spacing w:val="-8"/>
                          <w:sz w:val="16"/>
                          <w:szCs w:val="16"/>
                        </w:rPr>
                      </w:pPr>
                    </w:p>
                  </w:txbxContent>
                </v:textbox>
              </v:shape>
            </w:pict>
          </mc:Fallback>
        </mc:AlternateContent>
      </w:r>
    </w:p>
    <w:p>
      <w:pPr>
        <w:spacing w:line="5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046</w:t>
      </w:r>
      <w:r>
        <w:rPr>
          <w:rFonts w:ascii="Times New Roman" w:hAnsi="Times New Roman" w:eastAsia="仿宋_GB2312" w:cs="Times New Roman"/>
          <w:color w:val="000000"/>
          <w:sz w:val="28"/>
          <w:szCs w:val="28"/>
        </w:rPr>
        <w:t>号</w:t>
      </w:r>
    </w:p>
    <w:bookmarkEnd w:id="0"/>
    <w:bookmarkEnd w:id="1"/>
    <w:p>
      <w:pPr>
        <w:spacing w:line="400" w:lineRule="exact"/>
        <w:jc w:val="center"/>
        <w:rPr>
          <w:rFonts w:ascii="Times New Roman" w:hAnsi="Times New Roman" w:eastAsia="仿宋_GB2312" w:cs="Times New Roman"/>
          <w:b/>
          <w:bCs/>
          <w:sz w:val="40"/>
          <w:szCs w:val="48"/>
        </w:rPr>
      </w:pP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关于对广州市番禺区南村镇西片社工服务站</w:t>
      </w: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202</w:t>
      </w:r>
      <w:r>
        <w:rPr>
          <w:rFonts w:hint="eastAsia" w:ascii="Times New Roman" w:hAnsi="Times New Roman" w:eastAsia="宋体" w:cs="Times New Roman"/>
          <w:b/>
          <w:color w:val="000000" w:themeColor="text1"/>
          <w:sz w:val="28"/>
          <w:szCs w:val="28"/>
          <w14:textFill>
            <w14:solidFill>
              <w14:schemeClr w14:val="tx1"/>
            </w14:solidFill>
          </w14:textFill>
        </w:rPr>
        <w:t>4</w:t>
      </w:r>
      <w:r>
        <w:rPr>
          <w:rFonts w:ascii="Times New Roman" w:hAnsi="Times New Roman" w:eastAsia="宋体" w:cs="Times New Roman"/>
          <w:b/>
          <w:color w:val="000000" w:themeColor="text1"/>
          <w:sz w:val="28"/>
          <w:szCs w:val="28"/>
          <w14:textFill>
            <w14:solidFill>
              <w14:schemeClr w14:val="tx1"/>
            </w14:solidFill>
          </w14:textFill>
        </w:rPr>
        <w:t>年8月15日至2025年2月14日财务管理情况评估报告</w:t>
      </w:r>
    </w:p>
    <w:p>
      <w:pPr>
        <w:spacing w:line="400" w:lineRule="exact"/>
        <w:jc w:val="center"/>
        <w:rPr>
          <w:rFonts w:ascii="Times New Roman" w:hAnsi="Times New Roman" w:eastAsia="仿宋_GB2312" w:cs="Times New Roman"/>
          <w:sz w:val="28"/>
          <w:szCs w:val="28"/>
        </w:rPr>
      </w:pPr>
    </w:p>
    <w:p>
      <w:pPr>
        <w:spacing w:line="64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640" w:lineRule="exact"/>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我们接受委托，对广州市番禺区南村镇西片社工服务站（以下简称南村镇西片社工站）202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年8月15日至2025年</w:t>
      </w:r>
      <w:r>
        <w:rPr>
          <w:rFonts w:hint="eastAsia" w:ascii="Times New Roman" w:hAnsi="Times New Roman" w:eastAsia="仿宋_GB2312" w:cs="Times New Roman"/>
          <w:sz w:val="28"/>
          <w:szCs w:val="28"/>
        </w:rPr>
        <w:t>2月1</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日</w:t>
      </w:r>
      <w:r>
        <w:rPr>
          <w:rFonts w:ascii="Times New Roman" w:hAnsi="Times New Roman" w:eastAsia="仿宋_GB2312" w:cs="Times New Roman"/>
          <w:sz w:val="28"/>
          <w:szCs w:val="28"/>
        </w:rPr>
        <w:t>财务管理情况进行财务评估。</w:t>
      </w:r>
      <w:r>
        <w:rPr>
          <w:rFonts w:hint="eastAsia" w:eastAsia="仿宋"/>
          <w:color w:val="000000" w:themeColor="text1"/>
          <w:sz w:val="28"/>
          <w:szCs w:val="28"/>
          <w14:textFill>
            <w14:solidFill>
              <w14:schemeClr w14:val="tx1"/>
            </w14:solidFill>
          </w14:textFill>
        </w:rPr>
        <w:t>提供真实、合法、完整的会计资料和评估相关资料</w:t>
      </w:r>
      <w:r>
        <w:rPr>
          <w:rFonts w:hint="eastAsia" w:ascii="Times New Roman" w:hAnsi="Times New Roman" w:eastAsia="仿宋_GB2312" w:cs="Times New Roman"/>
          <w:color w:val="000000" w:themeColor="text1"/>
          <w:sz w:val="28"/>
          <w:szCs w:val="28"/>
          <w14:textFill>
            <w14:solidFill>
              <w14:schemeClr w14:val="tx1"/>
            </w14:solidFill>
          </w14:textFill>
        </w:rPr>
        <w:t>是南村西片社工站及其承接机构的责任，</w:t>
      </w:r>
      <w:r>
        <w:rPr>
          <w:rFonts w:hint="eastAsia" w:eastAsia="仿宋"/>
          <w:color w:val="000000" w:themeColor="text1"/>
          <w:sz w:val="28"/>
          <w:szCs w:val="28"/>
          <w14:textFill>
            <w14:solidFill>
              <w14:schemeClr w14:val="tx1"/>
            </w14:solidFill>
          </w14:textFill>
        </w:rPr>
        <w:t>我们的责任是依据《中国注册会计师执业准则》、《中华人民共和国会计法》、《会计基础工作规范》、《民间非营利组织会计制度》、《广州市人民政府办公厅关于印发广州市社工服务站管理办法的通知》（</w:t>
      </w:r>
      <w:r>
        <w:rPr>
          <w:rFonts w:ascii="Times New Roman" w:hAnsi="Times New Roman" w:eastAsia="仿宋" w:cs="Times New Roman"/>
          <w:color w:val="000000" w:themeColor="text1"/>
          <w:sz w:val="28"/>
          <w:szCs w:val="28"/>
          <w14:textFill>
            <w14:solidFill>
              <w14:schemeClr w14:val="tx1"/>
            </w14:solidFill>
          </w14:textFill>
        </w:rPr>
        <w:t>穗府办〔2023〕7号）、《</w:t>
      </w:r>
      <w:r>
        <w:rPr>
          <w:rFonts w:hint="eastAsia" w:ascii="Times New Roman" w:hAnsi="Times New Roman" w:eastAsia="仿宋" w:cs="Times New Roman"/>
          <w:color w:val="000000" w:themeColor="text1"/>
          <w:sz w:val="28"/>
          <w:szCs w:val="28"/>
          <w14:textFill>
            <w14:solidFill>
              <w14:schemeClr w14:val="tx1"/>
            </w14:solidFill>
          </w14:textFill>
        </w:rPr>
        <w:t>广州市民政局关于印发〈广州市社工服务站管理办法〉有关配套文件的通知</w:t>
      </w:r>
      <w:r>
        <w:rPr>
          <w:rFonts w:ascii="Times New Roman" w:hAnsi="Times New Roman" w:eastAsia="仿宋" w:cs="Times New Roman"/>
          <w:color w:val="000000" w:themeColor="text1"/>
          <w:sz w:val="28"/>
          <w:szCs w:val="28"/>
          <w14:textFill>
            <w14:solidFill>
              <w14:schemeClr w14:val="tx1"/>
            </w14:solidFill>
          </w14:textFill>
        </w:rPr>
        <w:t>》（穗民〔2023〕97号）及</w:t>
      </w:r>
      <w:r>
        <w:rPr>
          <w:rFonts w:ascii="Times New Roman" w:hAnsi="Times New Roman" w:eastAsia="仿宋" w:cs="Times New Roman"/>
          <w:sz w:val="28"/>
          <w:szCs w:val="28"/>
        </w:rPr>
        <w:t>广州市番禺区南村镇</w:t>
      </w:r>
      <w:r>
        <w:rPr>
          <w:rFonts w:hint="eastAsia" w:ascii="Times New Roman" w:hAnsi="Times New Roman" w:eastAsia="仿宋" w:cs="Times New Roman"/>
          <w:sz w:val="28"/>
          <w:szCs w:val="28"/>
        </w:rPr>
        <w:t>人民政府</w:t>
      </w:r>
      <w:r>
        <w:rPr>
          <w:rFonts w:ascii="Times New Roman" w:hAnsi="Times New Roman" w:eastAsia="仿宋" w:cs="Times New Roman"/>
          <w:sz w:val="28"/>
          <w:szCs w:val="28"/>
        </w:rPr>
        <w:t>与社工服务站承接机构签订的购买服务协议中相关约定，对南村镇西片社工站的财务管理情况进行审核，并出具财务评估报告。</w:t>
      </w:r>
    </w:p>
    <w:p>
      <w:pPr>
        <w:spacing w:line="640" w:lineRule="exact"/>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南村镇西片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600" w:lineRule="exact"/>
        <w:ind w:right="-6" w:rightChars="-3"/>
        <w:rPr>
          <w:rFonts w:ascii="Times New Roman" w:hAnsi="Times New Roman" w:eastAsia="仿宋_GB2312" w:cs="Times New Roman"/>
          <w:b/>
          <w:sz w:val="28"/>
          <w:szCs w:val="28"/>
        </w:rPr>
      </w:pPr>
      <w:r>
        <w:rPr>
          <w:rFonts w:ascii="Times New Roman" w:hAnsi="Times New Roman" w:eastAsia="仿宋_GB2312" w:cs="Times New Roman"/>
          <w:b/>
          <w:sz w:val="28"/>
          <w:szCs w:val="28"/>
        </w:rPr>
        <w:t>一、南村镇西片社工站基本情况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承接机构名称：</w:t>
      </w:r>
      <w:bookmarkStart w:id="2" w:name="_Hlk161259704"/>
      <w:r>
        <w:rPr>
          <w:rFonts w:hint="eastAsia" w:ascii="Times New Roman" w:hAnsi="Times New Roman" w:eastAsia="仿宋_GB2312" w:cs="Times New Roman"/>
          <w:sz w:val="28"/>
          <w:szCs w:val="28"/>
        </w:rPr>
        <w:t>广州市南沙区百民社会工作服务中心</w:t>
      </w:r>
      <w:bookmarkEnd w:id="2"/>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承接机构法定代表人：</w:t>
      </w:r>
      <w:r>
        <w:rPr>
          <w:rFonts w:hint="eastAsia" w:ascii="Times New Roman" w:hAnsi="Times New Roman" w:eastAsia="仿宋_GB2312" w:cs="Times New Roman"/>
          <w:sz w:val="28"/>
          <w:szCs w:val="28"/>
        </w:rPr>
        <w:t>郭启华</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招标采购周期：202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年8月15日</w:t>
      </w:r>
      <w:r>
        <w:rPr>
          <w:rFonts w:hint="eastAsia" w:ascii="Times New Roman" w:hAnsi="Times New Roman" w:eastAsia="仿宋_GB2312" w:cs="Times New Roman"/>
          <w:sz w:val="28"/>
          <w:szCs w:val="28"/>
        </w:rPr>
        <w:t>起三年</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年8月15日至2025年</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4日。</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政府购买服务经费：本服务协议期限202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年8月15日至2025年</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4日的服务经费总计2,400,000.00元</w:t>
      </w:r>
      <w:r>
        <w:rPr>
          <w:rFonts w:hint="eastAsia" w:ascii="Times New Roman" w:hAnsi="Times New Roman" w:eastAsia="仿宋_GB2312" w:cs="Times New Roman"/>
          <w:sz w:val="28"/>
          <w:szCs w:val="28"/>
        </w:rPr>
        <w:t>，分为三期拨付。第一期在协议签订生效之日起30个工作日内拨付年度项目经费的55%即1,320,000.00元，年度中期评估为合格以上的拨付年度项目经费的40%即960,000.00元，年度末期评估为合格以上的拨付年度项目经费的5%即120,000.00元</w:t>
      </w:r>
      <w:r>
        <w:rPr>
          <w:rFonts w:ascii="Times New Roman" w:hAnsi="Times New Roman" w:eastAsia="仿宋_GB2312" w:cs="Times New Roman"/>
          <w:sz w:val="28"/>
          <w:szCs w:val="28"/>
        </w:rPr>
        <w:t>。</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二、南村镇西片社工站财务管理制度执行情况</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非营利组织会计制度的执行情况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南村镇西片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2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_GB2312" w:cs="Times New Roman"/>
          <w:sz w:val="28"/>
          <w:szCs w:val="28"/>
        </w:rPr>
        <w:t>㈡</w:t>
      </w:r>
      <w:r>
        <w:rPr>
          <w:rFonts w:ascii="Times New Roman" w:hAnsi="Times New Roman" w:eastAsia="仿宋" w:cs="Times New Roman"/>
          <w:sz w:val="28"/>
          <w:szCs w:val="28"/>
        </w:rPr>
        <w:t>财务监管、风控制度的执行情况</w:t>
      </w:r>
    </w:p>
    <w:p>
      <w:pPr>
        <w:spacing w:line="62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w:t>
      </w:r>
      <w:r>
        <w:rPr>
          <w:rFonts w:ascii="Times New Roman" w:hAnsi="Times New Roman" w:eastAsia="仿宋" w:cs="Times New Roman"/>
          <w:sz w:val="28"/>
          <w:szCs w:val="28"/>
        </w:rPr>
        <w:t>、承接机构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 w:cs="Times New Roman"/>
          <w:sz w:val="28"/>
          <w:szCs w:val="28"/>
        </w:rPr>
        <w:t>根据自身业务特点建立了《财务管理制度》《</w:t>
      </w:r>
      <w:r>
        <w:rPr>
          <w:rFonts w:hint="eastAsia" w:ascii="Times New Roman" w:hAnsi="Times New Roman" w:eastAsia="仿宋" w:cs="Times New Roman"/>
          <w:sz w:val="28"/>
          <w:szCs w:val="28"/>
        </w:rPr>
        <w:t>费用报销制度</w:t>
      </w:r>
      <w:r>
        <w:rPr>
          <w:rFonts w:ascii="Times New Roman" w:hAnsi="Times New Roman" w:eastAsia="仿宋" w:cs="Times New Roman"/>
          <w:sz w:val="28"/>
          <w:szCs w:val="28"/>
        </w:rPr>
        <w:t>》《</w:t>
      </w:r>
      <w:r>
        <w:rPr>
          <w:rFonts w:hint="eastAsia" w:ascii="Times New Roman" w:hAnsi="Times New Roman" w:eastAsia="仿宋" w:cs="Times New Roman"/>
          <w:sz w:val="28"/>
          <w:szCs w:val="28"/>
        </w:rPr>
        <w:t>薪酬管理制度</w:t>
      </w:r>
      <w:r>
        <w:rPr>
          <w:rFonts w:ascii="Times New Roman" w:hAnsi="Times New Roman" w:eastAsia="仿宋" w:cs="Times New Roman"/>
          <w:sz w:val="28"/>
          <w:szCs w:val="28"/>
        </w:rPr>
        <w:t>》</w:t>
      </w:r>
      <w:r>
        <w:rPr>
          <w:rFonts w:hint="eastAsia" w:ascii="Times New Roman" w:hAnsi="Times New Roman" w:eastAsia="仿宋_GB2312" w:cs="Times New Roman"/>
          <w:sz w:val="28"/>
          <w:szCs w:val="28"/>
        </w:rPr>
        <w:t>等财务内部控制制度</w:t>
      </w:r>
      <w:r>
        <w:rPr>
          <w:rFonts w:hint="eastAsia" w:ascii="Times New Roman" w:hAnsi="Times New Roman" w:eastAsia="仿宋" w:cs="Times New Roman"/>
          <w:sz w:val="28"/>
          <w:szCs w:val="28"/>
        </w:rPr>
        <w:t>，</w:t>
      </w:r>
      <w:r>
        <w:rPr>
          <w:rFonts w:ascii="Times New Roman" w:hAnsi="Times New Roman" w:eastAsia="仿宋" w:cs="Times New Roman"/>
          <w:sz w:val="28"/>
          <w:szCs w:val="28"/>
        </w:rPr>
        <w:t>南村镇西片社工站在实际工作中能按上述制度要求编制“</w:t>
      </w:r>
      <w:r>
        <w:rPr>
          <w:rFonts w:hint="eastAsia" w:ascii="Times New Roman" w:hAnsi="Times New Roman" w:eastAsia="仿宋" w:cs="Times New Roman"/>
          <w:sz w:val="28"/>
          <w:szCs w:val="28"/>
        </w:rPr>
        <w:t>南村镇西片社工服务站第一年财务预算</w:t>
      </w:r>
      <w:r>
        <w:rPr>
          <w:rFonts w:ascii="Times New Roman" w:hAnsi="Times New Roman" w:eastAsia="仿宋" w:cs="Times New Roman"/>
          <w:sz w:val="28"/>
          <w:szCs w:val="28"/>
        </w:rPr>
        <w:t>”；在经费报销和预支申请等方面均能执行承接机构制度规</w:t>
      </w:r>
      <w:r>
        <w:rPr>
          <w:rFonts w:hint="eastAsia" w:ascii="Times New Roman" w:hAnsi="Times New Roman" w:eastAsia="仿宋" w:cs="Times New Roman"/>
          <w:sz w:val="28"/>
          <w:szCs w:val="28"/>
        </w:rPr>
        <w:t>定</w:t>
      </w:r>
      <w:r>
        <w:rPr>
          <w:rFonts w:ascii="Times New Roman" w:hAnsi="Times New Roman" w:eastAsia="仿宋" w:cs="Times New Roman"/>
          <w:sz w:val="28"/>
          <w:szCs w:val="28"/>
        </w:rPr>
        <w:t>的程序、权限。</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 w:cs="Times New Roman"/>
          <w:sz w:val="28"/>
          <w:szCs w:val="28"/>
        </w:rPr>
        <w:t>２</w:t>
      </w:r>
      <w:r>
        <w:rPr>
          <w:rFonts w:ascii="Times New Roman" w:hAnsi="Times New Roman" w:eastAsia="仿宋" w:cs="Times New Roman"/>
          <w:sz w:val="28"/>
          <w:szCs w:val="28"/>
        </w:rPr>
        <w:t>、</w:t>
      </w:r>
      <w:r>
        <w:rPr>
          <w:rFonts w:ascii="Times New Roman" w:hAnsi="Times New Roman" w:eastAsia="仿宋_GB2312" w:cs="Times New Roman"/>
          <w:sz w:val="28"/>
          <w:szCs w:val="28"/>
        </w:rPr>
        <w:t>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 w:cs="Times New Roman"/>
          <w:sz w:val="28"/>
          <w:szCs w:val="28"/>
        </w:rPr>
        <w:t>除建立上述管理制度外，还建立了</w:t>
      </w:r>
      <w:r>
        <w:rPr>
          <w:rFonts w:hint="eastAsia" w:ascii="Times New Roman" w:hAnsi="Times New Roman" w:eastAsia="仿宋" w:cs="Times New Roman"/>
          <w:sz w:val="28"/>
          <w:szCs w:val="28"/>
        </w:rPr>
        <w:t>《资产管理制度》对固定资产的会计核算增减变动及日常管理等进行了相关规定</w:t>
      </w:r>
      <w:r>
        <w:rPr>
          <w:rFonts w:ascii="Times New Roman" w:hAnsi="Times New Roman" w:eastAsia="仿宋" w:cs="Times New Roman"/>
          <w:sz w:val="28"/>
          <w:szCs w:val="28"/>
        </w:rPr>
        <w:t>，南村镇西片社工站严格执行该项制度，并定期对固定资产进行盘点。</w:t>
      </w:r>
    </w:p>
    <w:p>
      <w:pPr>
        <w:spacing w:line="590" w:lineRule="exact"/>
        <w:ind w:firstLine="552" w:firstLineChars="200"/>
        <w:rPr>
          <w:rFonts w:ascii="Times New Roman" w:hAnsi="Times New Roman" w:eastAsia="仿宋" w:cs="Times New Roman"/>
          <w:sz w:val="28"/>
          <w:szCs w:val="28"/>
        </w:rPr>
      </w:pPr>
      <w:r>
        <w:rPr>
          <w:rFonts w:hint="eastAsia" w:ascii="Times New Roman" w:hAnsi="Times New Roman" w:eastAsia="仿宋_GB2312" w:cs="Times New Roman"/>
          <w:spacing w:val="-2"/>
          <w:sz w:val="28"/>
          <w:szCs w:val="28"/>
        </w:rPr>
        <w:t>３</w:t>
      </w:r>
      <w:r>
        <w:rPr>
          <w:rFonts w:ascii="Times New Roman" w:hAnsi="Times New Roman" w:eastAsia="仿宋_GB2312" w:cs="Times New Roman"/>
          <w:spacing w:val="-2"/>
          <w:sz w:val="28"/>
          <w:szCs w:val="28"/>
        </w:rPr>
        <w:t>、</w:t>
      </w:r>
      <w:bookmarkStart w:id="3" w:name="_Hlk110953931"/>
      <w:r>
        <w:rPr>
          <w:rFonts w:ascii="Times New Roman" w:hAnsi="Times New Roman" w:eastAsia="仿宋_GB2312" w:cs="Times New Roman"/>
          <w:spacing w:val="-2"/>
          <w:sz w:val="28"/>
          <w:szCs w:val="28"/>
        </w:rPr>
        <w:t>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 w:cs="Times New Roman"/>
          <w:spacing w:val="-2"/>
          <w:sz w:val="28"/>
          <w:szCs w:val="28"/>
        </w:rPr>
        <w:t>已按要求编制服务期内南村镇西片社工站的</w:t>
      </w:r>
      <w:r>
        <w:rPr>
          <w:rFonts w:hint="eastAsia" w:ascii="Times New Roman" w:hAnsi="Times New Roman" w:eastAsia="仿宋" w:cs="Times New Roman"/>
          <w:spacing w:val="-2"/>
          <w:sz w:val="28"/>
          <w:szCs w:val="28"/>
        </w:rPr>
        <w:t>财务自评报告</w:t>
      </w:r>
      <w:r>
        <w:rPr>
          <w:rFonts w:ascii="Times New Roman" w:hAnsi="Times New Roman" w:eastAsia="仿宋_GB2312" w:cs="Times New Roman"/>
          <w:spacing w:val="-2"/>
          <w:sz w:val="28"/>
          <w:szCs w:val="28"/>
        </w:rPr>
        <w:t>；中心</w:t>
      </w:r>
      <w:r>
        <w:rPr>
          <w:rFonts w:hint="eastAsia" w:ascii="Times New Roman" w:hAnsi="Times New Roman" w:eastAsia="仿宋_GB2312" w:cs="Times New Roman"/>
          <w:spacing w:val="-2"/>
          <w:sz w:val="28"/>
          <w:szCs w:val="28"/>
        </w:rPr>
        <w:t>2023</w:t>
      </w:r>
      <w:r>
        <w:rPr>
          <w:rFonts w:ascii="Times New Roman" w:hAnsi="Times New Roman" w:eastAsia="仿宋_GB2312" w:cs="Times New Roman"/>
          <w:spacing w:val="-2"/>
          <w:sz w:val="28"/>
          <w:szCs w:val="28"/>
        </w:rPr>
        <w:t>年度财务报表已经</w:t>
      </w:r>
      <w:r>
        <w:rPr>
          <w:rFonts w:hint="eastAsia" w:ascii="Times New Roman" w:hAnsi="Times New Roman" w:eastAsia="仿宋_GB2312" w:cs="Times New Roman"/>
          <w:spacing w:val="-2"/>
          <w:sz w:val="28"/>
          <w:szCs w:val="28"/>
        </w:rPr>
        <w:t>广州弘一会计师事务所（普通合伙）审计</w:t>
      </w:r>
      <w:r>
        <w:rPr>
          <w:rFonts w:ascii="Times New Roman" w:hAnsi="Times New Roman" w:eastAsia="仿宋_GB2312" w:cs="Times New Roman"/>
          <w:spacing w:val="-2"/>
          <w:sz w:val="28"/>
          <w:szCs w:val="28"/>
        </w:rPr>
        <w:t>，并取得</w:t>
      </w:r>
      <w:r>
        <w:rPr>
          <w:rFonts w:hint="eastAsia" w:ascii="Times New Roman" w:hAnsi="Times New Roman" w:eastAsia="仿宋" w:cs="Times New Roman"/>
          <w:spacing w:val="-2"/>
          <w:sz w:val="28"/>
          <w:szCs w:val="28"/>
        </w:rPr>
        <w:t>弘一年审</w:t>
      </w:r>
      <w:r>
        <w:rPr>
          <w:rFonts w:hint="eastAsia" w:ascii="Times New Roman" w:hAnsi="Times New Roman" w:eastAsia="仿宋_GB2312" w:cs="Times New Roman"/>
          <w:spacing w:val="-2"/>
          <w:sz w:val="28"/>
          <w:szCs w:val="28"/>
        </w:rPr>
        <w:t>[</w:t>
      </w:r>
      <w:r>
        <w:rPr>
          <w:rFonts w:ascii="Times New Roman" w:hAnsi="Times New Roman" w:eastAsia="仿宋_GB2312" w:cs="Times New Roman"/>
          <w:spacing w:val="-2"/>
          <w:sz w:val="28"/>
          <w:szCs w:val="28"/>
        </w:rPr>
        <w:t>202</w:t>
      </w:r>
      <w:r>
        <w:rPr>
          <w:rFonts w:hint="eastAsia" w:ascii="Times New Roman" w:hAnsi="Times New Roman" w:eastAsia="仿宋_GB2312" w:cs="Times New Roman"/>
          <w:spacing w:val="-2"/>
          <w:sz w:val="28"/>
          <w:szCs w:val="28"/>
        </w:rPr>
        <w:t>4]</w:t>
      </w:r>
      <w:r>
        <w:rPr>
          <w:rFonts w:ascii="Times New Roman" w:hAnsi="Times New Roman" w:eastAsia="仿宋_GB2312" w:cs="Times New Roman"/>
          <w:spacing w:val="-2"/>
          <w:sz w:val="28"/>
          <w:szCs w:val="28"/>
        </w:rPr>
        <w:t>第</w:t>
      </w:r>
      <w:r>
        <w:rPr>
          <w:rFonts w:hint="eastAsia" w:ascii="Times New Roman" w:hAnsi="Times New Roman" w:eastAsia="仿宋_GB2312" w:cs="Times New Roman"/>
          <w:spacing w:val="-2"/>
          <w:sz w:val="28"/>
          <w:szCs w:val="28"/>
        </w:rPr>
        <w:t>0114</w:t>
      </w:r>
      <w:r>
        <w:rPr>
          <w:rFonts w:ascii="Times New Roman" w:hAnsi="Times New Roman" w:eastAsia="仿宋_GB2312" w:cs="Times New Roman"/>
          <w:spacing w:val="-2"/>
          <w:sz w:val="28"/>
          <w:szCs w:val="28"/>
        </w:rPr>
        <w:t>号无保留意见审计报告，202</w:t>
      </w:r>
      <w:r>
        <w:rPr>
          <w:rFonts w:hint="eastAsia" w:ascii="Times New Roman" w:hAnsi="Times New Roman" w:eastAsia="仿宋_GB2312" w:cs="Times New Roman"/>
          <w:spacing w:val="-2"/>
          <w:sz w:val="28"/>
          <w:szCs w:val="28"/>
        </w:rPr>
        <w:t>3</w:t>
      </w:r>
      <w:r>
        <w:rPr>
          <w:rFonts w:ascii="Times New Roman" w:hAnsi="Times New Roman" w:eastAsia="仿宋" w:cs="Times New Roman"/>
          <w:spacing w:val="-2"/>
          <w:sz w:val="28"/>
          <w:szCs w:val="28"/>
        </w:rPr>
        <w:t>年度企业所得税纳税情况已经</w:t>
      </w:r>
      <w:r>
        <w:rPr>
          <w:rFonts w:hint="eastAsia" w:ascii="Times New Roman" w:hAnsi="Times New Roman" w:eastAsia="仿宋_GB2312" w:cs="Times New Roman"/>
          <w:spacing w:val="-2"/>
          <w:sz w:val="28"/>
          <w:szCs w:val="28"/>
        </w:rPr>
        <w:t>广州睿鑫税务师事务所有限公司</w:t>
      </w:r>
      <w:r>
        <w:rPr>
          <w:rFonts w:ascii="Times New Roman" w:hAnsi="Times New Roman" w:eastAsia="仿宋_GB2312" w:cs="Times New Roman"/>
          <w:spacing w:val="-2"/>
          <w:sz w:val="28"/>
          <w:szCs w:val="28"/>
        </w:rPr>
        <w:t>复核，并取得</w:t>
      </w:r>
      <w:bookmarkEnd w:id="3"/>
      <w:r>
        <w:rPr>
          <w:rFonts w:hint="eastAsia" w:ascii="Times New Roman" w:hAnsi="Times New Roman" w:eastAsia="仿宋_GB2312" w:cs="Times New Roman"/>
          <w:spacing w:val="-2"/>
          <w:sz w:val="28"/>
          <w:szCs w:val="28"/>
        </w:rPr>
        <w:t>睿鑫税审字（2024）</w:t>
      </w:r>
      <w:r>
        <w:rPr>
          <w:rFonts w:ascii="Times New Roman" w:hAnsi="Times New Roman" w:eastAsia="仿宋_GB2312" w:cs="Times New Roman"/>
          <w:spacing w:val="-2"/>
          <w:sz w:val="28"/>
          <w:szCs w:val="28"/>
        </w:rPr>
        <w:t>第</w:t>
      </w:r>
      <w:r>
        <w:rPr>
          <w:rFonts w:hint="eastAsia" w:ascii="Times New Roman" w:hAnsi="Times New Roman" w:eastAsia="仿宋_GB2312" w:cs="Times New Roman"/>
          <w:spacing w:val="-2"/>
          <w:sz w:val="28"/>
          <w:szCs w:val="28"/>
        </w:rPr>
        <w:t>X0002</w:t>
      </w:r>
      <w:r>
        <w:rPr>
          <w:rFonts w:ascii="Times New Roman" w:hAnsi="Times New Roman" w:eastAsia="仿宋_GB2312" w:cs="Times New Roman"/>
          <w:spacing w:val="-2"/>
          <w:sz w:val="28"/>
          <w:szCs w:val="28"/>
        </w:rPr>
        <w:t>号</w:t>
      </w:r>
      <w:r>
        <w:rPr>
          <w:rFonts w:ascii="Times New Roman" w:hAnsi="Times New Roman" w:eastAsia="仿宋" w:cs="Times New Roman"/>
          <w:spacing w:val="-2"/>
          <w:sz w:val="28"/>
          <w:szCs w:val="28"/>
        </w:rPr>
        <w:t>纳税调整报告</w:t>
      </w:r>
      <w:r>
        <w:rPr>
          <w:rFonts w:ascii="Times New Roman" w:hAnsi="Times New Roman" w:eastAsia="仿宋_GB2312" w:cs="Times New Roman"/>
          <w:spacing w:val="-2"/>
          <w:sz w:val="28"/>
          <w:szCs w:val="28"/>
        </w:rPr>
        <w:t>。</w:t>
      </w:r>
      <w:r>
        <w:rPr>
          <w:rFonts w:ascii="Times New Roman" w:hAnsi="Times New Roman" w:eastAsia="仿宋" w:cs="Times New Roman"/>
          <w:spacing w:val="-4"/>
          <w:sz w:val="28"/>
          <w:szCs w:val="28"/>
        </w:rPr>
        <w:t>截</w:t>
      </w:r>
      <w:r>
        <w:rPr>
          <w:rFonts w:hint="eastAsia" w:ascii="Times New Roman" w:hAnsi="Times New Roman" w:eastAsia="仿宋" w:cs="Times New Roman"/>
          <w:spacing w:val="-4"/>
          <w:sz w:val="28"/>
          <w:szCs w:val="28"/>
        </w:rPr>
        <w:t>至</w:t>
      </w:r>
      <w:r>
        <w:rPr>
          <w:rFonts w:ascii="Times New Roman" w:hAnsi="Times New Roman" w:eastAsia="仿宋" w:cs="Times New Roman"/>
          <w:spacing w:val="-4"/>
          <w:sz w:val="28"/>
          <w:szCs w:val="28"/>
        </w:rPr>
        <w:t>报告日，中心暂未出具2024年度审计报告及汇算清缴纳税调整报告。</w:t>
      </w:r>
    </w:p>
    <w:p>
      <w:pPr>
        <w:spacing w:line="620" w:lineRule="exact"/>
        <w:ind w:right="-6" w:rightChars="-3"/>
        <w:rPr>
          <w:rFonts w:ascii="Times New Roman" w:hAnsi="Times New Roman" w:eastAsia="仿宋_GB2312" w:cs="Times New Roman"/>
          <w:sz w:val="28"/>
          <w:szCs w:val="28"/>
        </w:rPr>
      </w:pPr>
      <w:r>
        <w:rPr>
          <w:rFonts w:ascii="Times New Roman" w:hAnsi="Times New Roman" w:eastAsia="仿宋_GB2312" w:cs="Times New Roman"/>
          <w:b/>
          <w:sz w:val="28"/>
          <w:szCs w:val="28"/>
        </w:rPr>
        <w:t>三、南村镇西片社工站人员配备情况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 w:cs="Times New Roman"/>
          <w:sz w:val="28"/>
          <w:szCs w:val="28"/>
        </w:rPr>
        <w:t>严格贯彻不相容职务分离原则，</w:t>
      </w:r>
      <w:r>
        <w:rPr>
          <w:rFonts w:ascii="Times New Roman" w:hAnsi="Times New Roman" w:eastAsia="仿宋_GB2312" w:cs="Times New Roman"/>
          <w:sz w:val="28"/>
          <w:szCs w:val="28"/>
        </w:rPr>
        <w:t>配置财务人员</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名，</w:t>
      </w:r>
      <w:r>
        <w:rPr>
          <w:rFonts w:ascii="Times New Roman" w:hAnsi="Times New Roman" w:eastAsia="仿宋" w:cs="Times New Roman"/>
          <w:sz w:val="28"/>
          <w:szCs w:val="28"/>
        </w:rPr>
        <w:t>分别担任</w:t>
      </w:r>
      <w:r>
        <w:rPr>
          <w:rFonts w:hint="eastAsia" w:ascii="Times New Roman" w:hAnsi="Times New Roman" w:eastAsia="仿宋" w:cs="Times New Roman"/>
          <w:sz w:val="28"/>
          <w:szCs w:val="28"/>
        </w:rPr>
        <w:t>财务和</w:t>
      </w:r>
      <w:r>
        <w:rPr>
          <w:rFonts w:ascii="Times New Roman" w:hAnsi="Times New Roman" w:eastAsia="仿宋" w:cs="Times New Roman"/>
          <w:sz w:val="28"/>
          <w:szCs w:val="28"/>
        </w:rPr>
        <w:t>出纳岗位，负责包括</w:t>
      </w:r>
      <w:r>
        <w:rPr>
          <w:rFonts w:ascii="Times New Roman" w:hAnsi="Times New Roman" w:eastAsia="仿宋_GB2312" w:cs="Times New Roman"/>
          <w:sz w:val="28"/>
          <w:szCs w:val="28"/>
        </w:rPr>
        <w:t>南村镇西片社工站在内的中心财务工作</w:t>
      </w:r>
      <w:r>
        <w:rPr>
          <w:rFonts w:ascii="Times New Roman" w:hAnsi="Times New Roman" w:eastAsia="仿宋" w:cs="Times New Roman"/>
          <w:sz w:val="28"/>
          <w:szCs w:val="28"/>
        </w:rPr>
        <w:t>，其中</w:t>
      </w:r>
      <w:r>
        <w:rPr>
          <w:rFonts w:hint="eastAsia" w:ascii="Times New Roman" w:hAnsi="Times New Roman" w:eastAsia="仿宋" w:cs="Times New Roman"/>
          <w:sz w:val="28"/>
          <w:szCs w:val="28"/>
        </w:rPr>
        <w:t>财务阳丽娟</w:t>
      </w:r>
      <w:r>
        <w:rPr>
          <w:rFonts w:ascii="Times New Roman" w:hAnsi="Times New Roman" w:eastAsia="仿宋" w:cs="Times New Roman"/>
          <w:sz w:val="28"/>
          <w:szCs w:val="28"/>
        </w:rPr>
        <w:t>已取得</w:t>
      </w:r>
      <w:r>
        <w:rPr>
          <w:rFonts w:hint="eastAsia" w:ascii="Times New Roman" w:hAnsi="Times New Roman" w:eastAsia="仿宋" w:cs="Times New Roman"/>
          <w:sz w:val="28"/>
          <w:szCs w:val="28"/>
        </w:rPr>
        <w:t>初级会计职称证书</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经查阅，</w:t>
      </w:r>
      <w:r>
        <w:rPr>
          <w:rFonts w:hint="eastAsia" w:ascii="Times New Roman" w:hAnsi="Times New Roman" w:eastAsia="仿宋" w:cs="Times New Roman"/>
          <w:sz w:val="28"/>
          <w:szCs w:val="28"/>
        </w:rPr>
        <w:t>财务阳丽娟</w:t>
      </w:r>
      <w:r>
        <w:rPr>
          <w:rFonts w:ascii="Times New Roman" w:hAnsi="Times New Roman" w:eastAsia="仿宋" w:cs="Times New Roman"/>
          <w:sz w:val="28"/>
          <w:szCs w:val="28"/>
        </w:rPr>
        <w:t>已完成</w:t>
      </w:r>
      <w:r>
        <w:rPr>
          <w:rFonts w:hint="eastAsia" w:ascii="Times New Roman" w:hAnsi="Times New Roman" w:eastAsia="仿宋" w:cs="Times New Roman"/>
          <w:sz w:val="28"/>
          <w:szCs w:val="28"/>
        </w:rPr>
        <w:t>2024</w:t>
      </w:r>
      <w:r>
        <w:rPr>
          <w:rFonts w:ascii="Times New Roman" w:hAnsi="Times New Roman" w:eastAsia="仿宋" w:cs="Times New Roman"/>
          <w:sz w:val="28"/>
          <w:szCs w:val="28"/>
        </w:rPr>
        <w:t>年度会计专业技术人员继续教育学习任务，且相应工资、五险一金等薪金支出在机构作为运营管理费用项目核算，未计入社工人员经费支出，</w:t>
      </w:r>
      <w:bookmarkStart w:id="4" w:name="_Hlk110958106"/>
      <w:r>
        <w:rPr>
          <w:rFonts w:ascii="Times New Roman" w:hAnsi="Times New Roman" w:eastAsia="仿宋" w:cs="Times New Roman"/>
          <w:sz w:val="28"/>
          <w:szCs w:val="28"/>
        </w:rPr>
        <w:t>符合要求</w:t>
      </w:r>
      <w:bookmarkEnd w:id="4"/>
      <w:r>
        <w:rPr>
          <w:rFonts w:ascii="Times New Roman" w:hAnsi="Times New Roman" w:eastAsia="仿宋" w:cs="Times New Roman"/>
          <w:sz w:val="28"/>
          <w:szCs w:val="28"/>
        </w:rPr>
        <w:t>。</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四、南村镇西片社工站服务经费支出情况</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w:t>
      </w:r>
      <w:r>
        <w:rPr>
          <w:rFonts w:hint="eastAsia" w:ascii="Times New Roman" w:hAnsi="Times New Roman" w:eastAsia="仿宋" w:cs="Times New Roman"/>
          <w:sz w:val="28"/>
          <w:szCs w:val="28"/>
        </w:rPr>
        <w:t>广州市南沙区百民社会工作服务中心</w:t>
      </w:r>
      <w:r>
        <w:rPr>
          <w:rFonts w:hint="eastAsia" w:ascii="Times New Roman" w:hAnsi="Times New Roman" w:eastAsia="仿宋_GB2312" w:cs="Times New Roman"/>
          <w:sz w:val="28"/>
          <w:szCs w:val="28"/>
        </w:rPr>
        <w:t>根据《广州市人民政府办公厅关于印发广州市社工服务站管理办法的通知》（穗府办〔2023〕7号）、《广州市民政局关于印发〈广州市社工服务站管理办法〉有关配套文件的通知》（穗民〔2023〕97号）等相关规定，结合实际情况建立了《财务管理制度》、《费用报销制度》，明确了财务经费支出的审核程序及支出权限。制度规定：所涉及的各项费用均属于预算范围内经费，无预算、超预算费用原则上不予报销；费用报销实行同级监督、层次审批，费用报销不能自行审批，也不能越级审批；项目主任/部门负责人对费用进行核实及审批，费用在1000元以内由机构总干事审批，1000元以上或超出预算20%（需据实填写情况说明）由机构总干事和理事长共同商讨并审批后方可执行。本评估期内南村镇西片社工站经费支出具体情况如下：</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财务支出的合规性</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南村镇西片社工站经费使用的范围、比例基本能按《广州市社工服务站管理办法》有关规定执行。南村镇西片社工站每年有制定“关于社工站的经费预算表”，明确规划了协议期内的收入和支出预算计划，经费支出预算表基本能符合《民间非营利组织会计制度》和</w:t>
      </w:r>
      <w:r>
        <w:rPr>
          <w:rFonts w:hint="eastAsia" w:ascii="Times New Roman" w:hAnsi="Times New Roman" w:eastAsia="仿宋_GB2312" w:cs="Times New Roman"/>
          <w:sz w:val="28"/>
          <w:szCs w:val="28"/>
        </w:rPr>
        <w:t>广州市番禺区南村镇人民政府</w:t>
      </w:r>
      <w:r>
        <w:rPr>
          <w:rFonts w:ascii="Times New Roman" w:hAnsi="Times New Roman" w:eastAsia="仿宋_GB2312" w:cs="Times New Roman"/>
          <w:sz w:val="28"/>
          <w:szCs w:val="28"/>
        </w:rPr>
        <w:t>与社工服务站承接机构签订的购买服务协议中人员费用、服务质量保障费用和运营管理费用规定的使用范围，活动经费预算表有机构理事会负责人签名确认。</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㈡财务支出的合理性</w:t>
      </w:r>
    </w:p>
    <w:p>
      <w:pPr>
        <w:tabs>
          <w:tab w:val="right" w:pos="9354"/>
        </w:tabs>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经审核，南村镇西片社工站财务支出的事由、票据、标准基本合理。南村镇西片社工站有经费预算程序，财务支出根据经费预算计划执行、基本能按预算标准支出，并有财务支出票据。</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审批情况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经审核，南村镇西片社工站能按承接机构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_GB2312" w:cs="Times New Roman"/>
          <w:sz w:val="28"/>
          <w:szCs w:val="28"/>
        </w:rPr>
        <w:t>财务制度规定的审批权限进行审批。经费支出由经办人、证明人、审核人签名。</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w:t>
      </w:r>
      <w:r>
        <w:rPr>
          <w:rFonts w:ascii="Times New Roman" w:hAnsi="Times New Roman" w:eastAsia="仿宋_GB2312" w:cs="Times New Roman"/>
          <w:sz w:val="28"/>
          <w:szCs w:val="28"/>
        </w:rPr>
        <w:t>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监控情况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_GB2312" w:cs="Times New Roman"/>
          <w:sz w:val="28"/>
          <w:szCs w:val="28"/>
        </w:rPr>
        <w:t>已建立财务支出管理的监控机制，并在南村镇西片社工站得到较规范执行。</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_GB2312" w:cs="Times New Roman"/>
          <w:sz w:val="28"/>
          <w:szCs w:val="28"/>
        </w:rPr>
        <w:t>能按规定开设银行基本账户，按规定对该南村镇西片社工站开设银行一般账户</w:t>
      </w:r>
      <w:r>
        <w:rPr>
          <w:rFonts w:hint="eastAsia" w:ascii="Times New Roman" w:hAnsi="Times New Roman" w:eastAsia="仿宋_GB2312" w:cs="Times New Roman"/>
          <w:sz w:val="28"/>
          <w:szCs w:val="28"/>
        </w:rPr>
        <w:t>，日常财务支出采用专户支付和基本户代付后专户转回结合的方式。</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、为确保政府购买服务经费用于指定用途，承接机构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_GB2312" w:cs="Times New Roman"/>
          <w:sz w:val="28"/>
          <w:szCs w:val="28"/>
        </w:rPr>
        <w:t>有定期向购买方提交南村镇西片社工站服务经费使用情况报告，对经费预算及使用情况作比对分析。</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w:t>
      </w:r>
      <w:r>
        <w:rPr>
          <w:rFonts w:ascii="Times New Roman" w:hAnsi="Times New Roman" w:eastAsia="仿宋_GB2312" w:cs="Times New Roman"/>
          <w:sz w:val="28"/>
          <w:szCs w:val="28"/>
        </w:rPr>
        <w:t>财务支出票据的完整性、规范性</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南村镇西片社工站财务支出票据、凭证填制较完整，账目设置、票据管理较规范。</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五、南村镇西片社工站会计核算情况</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㈠是否设置会计科目，编制完整会计报表</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_GB2312" w:cs="Times New Roman"/>
          <w:sz w:val="28"/>
          <w:szCs w:val="28"/>
        </w:rPr>
        <w:t>对南村镇西片社工站会计科目设置合理，所有服务业务均编制了记账凭证、登记了明细分类账簿和总账，核算做到账册、账账、账表相符，编制了会计报表，并符合相关会计制度独立核算。</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㈡是否分项目核算</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_GB2312" w:cs="Times New Roman"/>
          <w:sz w:val="28"/>
          <w:szCs w:val="28"/>
        </w:rPr>
        <w:t>对承接的南村镇西片社工站政府购买服务资金的服务经费支出，能按要求做到分项目核算。</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w:t>
      </w:r>
      <w:r>
        <w:rPr>
          <w:rFonts w:hint="eastAsia" w:ascii="Times New Roman" w:hAnsi="Times New Roman" w:eastAsia="仿宋" w:cs="Times New Roman"/>
          <w:sz w:val="28"/>
          <w:szCs w:val="28"/>
        </w:rPr>
        <w:t>广州市南沙区百民社会工作服务中心</w:t>
      </w:r>
      <w:r>
        <w:rPr>
          <w:rFonts w:ascii="Times New Roman" w:hAnsi="Times New Roman" w:eastAsia="仿宋_GB2312" w:cs="Times New Roman"/>
          <w:sz w:val="28"/>
          <w:szCs w:val="28"/>
        </w:rPr>
        <w:t>对承接的南村镇西片社工站政府购买服务资金的服务经费支出，能按要求做到领域服务经费分开归集。</w:t>
      </w:r>
    </w:p>
    <w:p>
      <w:pPr>
        <w:spacing w:line="58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六、本评估期服务经费拨入、支出、结余情况</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2024年</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15</w:t>
      </w:r>
      <w:r>
        <w:rPr>
          <w:rFonts w:hint="eastAsia" w:ascii="Times New Roman" w:hAnsi="Times New Roman" w:eastAsia="仿宋_GB2312" w:cs="Times New Roman"/>
          <w:sz w:val="28"/>
          <w:szCs w:val="28"/>
        </w:rPr>
        <w:t>日至2025年</w:t>
      </w:r>
      <w:r>
        <w:rPr>
          <w:rFonts w:ascii="Times New Roman" w:hAnsi="Times New Roman" w:eastAsia="仿宋_GB2312" w:cs="Times New Roman"/>
          <w:sz w:val="28"/>
          <w:szCs w:val="28"/>
        </w:rPr>
        <w:t>2月14日</w:t>
      </w:r>
      <w:r>
        <w:rPr>
          <w:rFonts w:hint="eastAsia" w:ascii="Times New Roman" w:hAnsi="Times New Roman" w:eastAsia="仿宋_GB2312" w:cs="Times New Roman"/>
          <w:sz w:val="28"/>
          <w:szCs w:val="28"/>
        </w:rPr>
        <w:t>（以下简称本评估期）</w:t>
      </w:r>
      <w:r>
        <w:rPr>
          <w:rFonts w:ascii="Times New Roman" w:hAnsi="Times New Roman" w:eastAsia="仿宋_GB2312" w:cs="Times New Roman"/>
          <w:sz w:val="28"/>
          <w:szCs w:val="28"/>
        </w:rPr>
        <w:t>，南村镇西片社工站收到本</w:t>
      </w:r>
      <w:r>
        <w:rPr>
          <w:rFonts w:hint="eastAsia" w:ascii="Times New Roman" w:hAnsi="Times New Roman" w:eastAsia="仿宋_GB2312" w:cs="Times New Roman"/>
          <w:sz w:val="28"/>
          <w:szCs w:val="28"/>
        </w:rPr>
        <w:t>协议</w:t>
      </w:r>
      <w:r>
        <w:rPr>
          <w:rFonts w:ascii="Times New Roman" w:hAnsi="Times New Roman" w:eastAsia="仿宋_GB2312" w:cs="Times New Roman"/>
          <w:sz w:val="28"/>
          <w:szCs w:val="28"/>
        </w:rPr>
        <w:t>期政府购买服务</w:t>
      </w:r>
      <w:bookmarkStart w:id="5" w:name="_Hlk110687493"/>
      <w:r>
        <w:rPr>
          <w:rFonts w:ascii="Times New Roman" w:hAnsi="Times New Roman" w:eastAsia="仿宋_GB2312" w:cs="Times New Roman"/>
          <w:sz w:val="28"/>
          <w:szCs w:val="28"/>
        </w:rPr>
        <w:t>经费</w:t>
      </w:r>
      <w:bookmarkEnd w:id="5"/>
      <w:r>
        <w:rPr>
          <w:rFonts w:hint="eastAsia" w:ascii="Times New Roman" w:hAnsi="Times New Roman" w:eastAsia="仿宋_GB2312" w:cs="Times New Roman"/>
          <w:sz w:val="28"/>
          <w:szCs w:val="28"/>
        </w:rPr>
        <w:t>0.00</w:t>
      </w:r>
      <w:r>
        <w:rPr>
          <w:rFonts w:ascii="Times New Roman" w:hAnsi="Times New Roman" w:eastAsia="仿宋_GB2312" w:cs="Times New Roman"/>
          <w:sz w:val="28"/>
          <w:szCs w:val="28"/>
        </w:rPr>
        <w:t>元，归属于本评估期的服务经费支出累计1,234,563.01元</w:t>
      </w:r>
      <w:bookmarkStart w:id="6" w:name="_Hlk110687647"/>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本评估期结余金</w:t>
      </w:r>
      <w:r>
        <w:rPr>
          <w:rFonts w:hint="eastAsia" w:ascii="Times New Roman" w:hAnsi="Times New Roman" w:eastAsia="仿宋_GB2312" w:cs="Times New Roman"/>
          <w:sz w:val="28"/>
          <w:szCs w:val="28"/>
        </w:rPr>
        <w:t>额</w:t>
      </w:r>
      <w:r>
        <w:rPr>
          <w:rFonts w:ascii="Times New Roman" w:hAnsi="Times New Roman" w:eastAsia="仿宋_GB2312" w:cs="Times New Roman"/>
          <w:sz w:val="28"/>
          <w:szCs w:val="28"/>
        </w:rPr>
        <w:t>-1,234,563.01元</w:t>
      </w:r>
      <w:bookmarkEnd w:id="6"/>
      <w:r>
        <w:rPr>
          <w:rFonts w:ascii="Times New Roman" w:hAnsi="Times New Roman" w:eastAsia="仿宋_GB2312" w:cs="Times New Roman"/>
          <w:sz w:val="28"/>
          <w:szCs w:val="28"/>
        </w:rPr>
        <w:t>。</w:t>
      </w:r>
    </w:p>
    <w:p>
      <w:pPr>
        <w:spacing w:line="580" w:lineRule="exact"/>
        <w:ind w:firstLine="552" w:firstLineChars="200"/>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㈠用于人员费用支出1,024,085.68元，占</w:t>
      </w:r>
      <w:r>
        <w:rPr>
          <w:rFonts w:hint="eastAsia" w:ascii="Times New Roman" w:hAnsi="Times New Roman" w:eastAsia="仿宋_GB2312" w:cs="Times New Roman"/>
          <w:spacing w:val="-2"/>
          <w:sz w:val="28"/>
          <w:szCs w:val="28"/>
        </w:rPr>
        <w:t>本协议期应收服务经费的</w:t>
      </w:r>
      <w:r>
        <w:rPr>
          <w:rFonts w:ascii="Times New Roman" w:hAnsi="Times New Roman" w:eastAsia="仿宋_GB2312" w:cs="Times New Roman"/>
          <w:spacing w:val="-2"/>
          <w:sz w:val="28"/>
          <w:szCs w:val="28"/>
        </w:rPr>
        <w:t>42.67%，本期预算执行率</w:t>
      </w:r>
      <w:r>
        <w:rPr>
          <w:rFonts w:hint="eastAsia" w:ascii="Times New Roman" w:hAnsi="Times New Roman" w:eastAsia="仿宋_GB2312" w:cs="Times New Roman"/>
          <w:spacing w:val="-2"/>
          <w:sz w:val="28"/>
          <w:szCs w:val="28"/>
        </w:rPr>
        <w:t>（整体协议期）</w:t>
      </w:r>
      <w:r>
        <w:rPr>
          <w:rFonts w:ascii="Times New Roman" w:hAnsi="Times New Roman" w:eastAsia="仿宋_GB2312" w:cs="Times New Roman"/>
          <w:spacing w:val="-2"/>
          <w:sz w:val="28"/>
          <w:szCs w:val="28"/>
        </w:rPr>
        <w:t>53.32%。其中：</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、工资总额支出855,808.52元；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、五险金支出</w:t>
      </w:r>
      <w:r>
        <w:rPr>
          <w:rFonts w:hint="eastAsia" w:ascii="Times New Roman" w:hAnsi="Times New Roman" w:eastAsia="仿宋_GB2312" w:cs="Times New Roman"/>
          <w:sz w:val="28"/>
          <w:szCs w:val="28"/>
        </w:rPr>
        <w:t>148,313.16</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、公积金支出</w:t>
      </w:r>
      <w:r>
        <w:rPr>
          <w:rFonts w:hint="eastAsia" w:ascii="Times New Roman" w:hAnsi="Times New Roman" w:eastAsia="仿宋_GB2312" w:cs="Times New Roman"/>
          <w:sz w:val="28"/>
          <w:szCs w:val="28"/>
        </w:rPr>
        <w:t>19,964.00</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w:t>
      </w:r>
      <w:r>
        <w:rPr>
          <w:rFonts w:hint="eastAsia" w:ascii="Times New Roman" w:hAnsi="Times New Roman" w:eastAsia="仿宋_GB2312" w:cs="Times New Roman"/>
          <w:sz w:val="28"/>
          <w:szCs w:val="28"/>
        </w:rPr>
        <w:t>98,229.89</w:t>
      </w:r>
      <w:r>
        <w:rPr>
          <w:rFonts w:ascii="Times New Roman" w:hAnsi="Times New Roman" w:eastAsia="仿宋_GB2312" w:cs="Times New Roman"/>
          <w:sz w:val="28"/>
          <w:szCs w:val="28"/>
        </w:rPr>
        <w:t>元，占</w:t>
      </w:r>
      <w:r>
        <w:rPr>
          <w:rFonts w:hint="eastAsia" w:ascii="Times New Roman" w:hAnsi="Times New Roman" w:eastAsia="仿宋_GB2312" w:cs="Times New Roman"/>
          <w:sz w:val="28"/>
          <w:szCs w:val="28"/>
        </w:rPr>
        <w:t>本协议期应收服务经费的</w:t>
      </w:r>
      <w:r>
        <w:rPr>
          <w:rFonts w:ascii="Times New Roman" w:hAnsi="Times New Roman" w:eastAsia="仿宋_GB2312" w:cs="Times New Roman"/>
          <w:sz w:val="28"/>
          <w:szCs w:val="28"/>
        </w:rPr>
        <w:t>4.09%</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本期预算执行率</w:t>
      </w:r>
      <w:r>
        <w:rPr>
          <w:rFonts w:hint="eastAsia" w:ascii="Times New Roman" w:hAnsi="Times New Roman" w:eastAsia="仿宋_GB2312" w:cs="Times New Roman"/>
          <w:sz w:val="28"/>
          <w:szCs w:val="28"/>
        </w:rPr>
        <w:t>（整体协议期）40.76%</w:t>
      </w:r>
      <w:r>
        <w:rPr>
          <w:rFonts w:ascii="Times New Roman" w:hAnsi="Times New Roman" w:eastAsia="仿宋_GB2312" w:cs="Times New Roman"/>
          <w:sz w:val="28"/>
          <w:szCs w:val="28"/>
        </w:rPr>
        <w:t>，其中：</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、专业支持</w:t>
      </w:r>
      <w:r>
        <w:rPr>
          <w:rFonts w:hint="eastAsia" w:ascii="Times New Roman" w:hAnsi="Times New Roman" w:eastAsia="仿宋_GB2312" w:cs="Times New Roman"/>
          <w:sz w:val="28"/>
          <w:szCs w:val="28"/>
        </w:rPr>
        <w:t>性</w:t>
      </w:r>
      <w:r>
        <w:rPr>
          <w:rFonts w:ascii="Times New Roman" w:hAnsi="Times New Roman" w:eastAsia="仿宋_GB2312" w:cs="Times New Roman"/>
          <w:sz w:val="28"/>
          <w:szCs w:val="28"/>
        </w:rPr>
        <w:t>支出</w:t>
      </w:r>
      <w:r>
        <w:rPr>
          <w:rFonts w:hint="eastAsia" w:ascii="Times New Roman" w:hAnsi="Times New Roman" w:eastAsia="仿宋_GB2312" w:cs="Times New Roman"/>
          <w:sz w:val="28"/>
          <w:szCs w:val="28"/>
        </w:rPr>
        <w:t>0</w:t>
      </w:r>
      <w:r>
        <w:rPr>
          <w:rFonts w:ascii="Times New Roman" w:hAnsi="Times New Roman" w:eastAsia="仿宋_GB2312"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、用于开展与专业服务和活动的支出</w:t>
      </w:r>
      <w:r>
        <w:rPr>
          <w:rFonts w:hint="eastAsia" w:ascii="Times New Roman" w:hAnsi="Times New Roman" w:eastAsia="仿宋_GB2312" w:cs="Times New Roman"/>
          <w:sz w:val="28"/>
          <w:szCs w:val="28"/>
        </w:rPr>
        <w:t>11,405.07</w:t>
      </w:r>
      <w:r>
        <w:rPr>
          <w:rFonts w:ascii="Times New Roman" w:hAnsi="Times New Roman" w:eastAsia="仿宋_GB2312"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hint="eastAsia" w:ascii="Times New Roman" w:hAnsi="Times New Roman" w:eastAsia="仿宋_GB2312"/>
          <w:color w:val="000000" w:themeColor="text1"/>
          <w:sz w:val="28"/>
          <w:szCs w:val="28"/>
          <w14:textFill>
            <w14:solidFill>
              <w14:schemeClr w14:val="tx1"/>
            </w14:solidFill>
          </w14:textFill>
        </w:rPr>
        <w:t>服务和活动物料支出</w:t>
      </w:r>
      <w:r>
        <w:rPr>
          <w:rFonts w:hint="eastAsia" w:ascii="Times New Roman" w:hAnsi="Times New Roman" w:eastAsia="仿宋_GB2312" w:cs="Times New Roman"/>
          <w:sz w:val="28"/>
          <w:szCs w:val="28"/>
        </w:rPr>
        <w:t>2,559.93</w:t>
      </w:r>
      <w:r>
        <w:rPr>
          <w:rFonts w:ascii="Times New Roman" w:hAnsi="Times New Roman" w:eastAsia="仿宋_GB2312"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宣传费</w:t>
      </w:r>
      <w:r>
        <w:rPr>
          <w:rFonts w:ascii="Times New Roman" w:hAnsi="Times New Roman" w:eastAsia="仿宋_GB2312" w:cs="Times New Roman"/>
          <w:sz w:val="28"/>
          <w:szCs w:val="28"/>
        </w:rPr>
        <w:t>支出</w:t>
      </w:r>
      <w:r>
        <w:rPr>
          <w:rFonts w:hint="eastAsia" w:ascii="Times New Roman" w:hAnsi="Times New Roman" w:eastAsia="仿宋_GB2312" w:cs="Times New Roman"/>
          <w:sz w:val="28"/>
          <w:szCs w:val="28"/>
        </w:rPr>
        <w:t>5,392.60</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，其中社工站环保袋费3,600.00元（2025年1月记42）</w:t>
      </w:r>
      <w:r>
        <w:rPr>
          <w:rFonts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交通费</w:t>
      </w:r>
      <w:r>
        <w:rPr>
          <w:rFonts w:ascii="Times New Roman" w:hAnsi="Times New Roman" w:eastAsia="仿宋_GB2312" w:cs="Times New Roman"/>
          <w:sz w:val="28"/>
          <w:szCs w:val="28"/>
        </w:rPr>
        <w:t>支出3,452.54元</w:t>
      </w:r>
      <w:r>
        <w:rPr>
          <w:rFonts w:hint="eastAsia"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、用于日常办公费用支出39,304.82元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⑴</w:t>
      </w:r>
      <w:r>
        <w:rPr>
          <w:rFonts w:ascii="Times New Roman" w:hAnsi="Times New Roman" w:eastAsia="仿宋_GB2312" w:cs="Times New Roman"/>
          <w:sz w:val="28"/>
          <w:szCs w:val="28"/>
        </w:rPr>
        <w:t>办公费耗材支出</w:t>
      </w:r>
      <w:r>
        <w:rPr>
          <w:rFonts w:hint="eastAsia" w:ascii="Times New Roman" w:hAnsi="Times New Roman" w:eastAsia="仿宋_GB2312" w:cs="Times New Roman"/>
          <w:sz w:val="28"/>
          <w:szCs w:val="28"/>
        </w:rPr>
        <w:t>12,516.23</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，其中：支付社工190桶桶装水费用</w:t>
      </w:r>
      <w:r>
        <w:rPr>
          <w:rFonts w:ascii="Times New Roman" w:hAnsi="Times New Roman" w:eastAsia="仿宋_GB2312" w:cs="Times New Roman"/>
          <w:sz w:val="28"/>
          <w:szCs w:val="28"/>
        </w:rPr>
        <w:t>2,500.00</w:t>
      </w:r>
      <w:r>
        <w:rPr>
          <w:rFonts w:hint="eastAsia" w:ascii="Times New Roman" w:hAnsi="Times New Roman" w:eastAsia="仿宋_GB2312" w:cs="Times New Roman"/>
          <w:sz w:val="28"/>
          <w:szCs w:val="28"/>
        </w:rPr>
        <w:t>元（10月记209），支付社工站</w:t>
      </w:r>
      <w:bookmarkStart w:id="8" w:name="_GoBack"/>
      <w:bookmarkEnd w:id="8"/>
      <w:r>
        <w:rPr>
          <w:rFonts w:hint="eastAsia" w:ascii="Times New Roman" w:hAnsi="Times New Roman" w:eastAsia="仿宋_GB2312" w:cs="Times New Roman"/>
          <w:sz w:val="28"/>
          <w:szCs w:val="28"/>
        </w:rPr>
        <w:t>打印费</w:t>
      </w:r>
      <w:r>
        <w:rPr>
          <w:rFonts w:ascii="Times New Roman" w:hAnsi="Times New Roman" w:eastAsia="仿宋_GB2312" w:cs="Times New Roman"/>
          <w:sz w:val="28"/>
          <w:szCs w:val="28"/>
        </w:rPr>
        <w:t>7,712.20</w:t>
      </w:r>
      <w:r>
        <w:rPr>
          <w:rFonts w:hint="eastAsia" w:ascii="Times New Roman" w:hAnsi="Times New Roman" w:eastAsia="仿宋_GB2312" w:cs="Times New Roman"/>
          <w:sz w:val="28"/>
          <w:szCs w:val="28"/>
        </w:rPr>
        <w:t>元（12月记105），</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⑵</w:t>
      </w:r>
      <w:r>
        <w:rPr>
          <w:rFonts w:hint="eastAsia" w:ascii="Times New Roman" w:hAnsi="Times New Roman" w:eastAsia="仿宋_GB2312" w:cs="Times New Roman"/>
          <w:sz w:val="28"/>
          <w:szCs w:val="28"/>
        </w:rPr>
        <w:t>保洁</w:t>
      </w:r>
      <w:r>
        <w:rPr>
          <w:rFonts w:ascii="Times New Roman" w:hAnsi="Times New Roman" w:eastAsia="仿宋_GB2312" w:cs="Times New Roman"/>
          <w:sz w:val="28"/>
          <w:szCs w:val="28"/>
        </w:rPr>
        <w:t>费支出</w:t>
      </w:r>
      <w:r>
        <w:rPr>
          <w:rFonts w:hint="eastAsia" w:ascii="Times New Roman" w:hAnsi="Times New Roman" w:eastAsia="仿宋_GB2312" w:cs="Times New Roman"/>
          <w:sz w:val="28"/>
          <w:szCs w:val="28"/>
        </w:rPr>
        <w:t>1,242.53</w:t>
      </w:r>
      <w:r>
        <w:rPr>
          <w:rFonts w:ascii="Times New Roman" w:hAnsi="Times New Roman" w:eastAsia="仿宋_GB2312"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⑶</w:t>
      </w:r>
      <w:r>
        <w:rPr>
          <w:rFonts w:hint="eastAsia" w:ascii="Times New Roman" w:hAnsi="Times New Roman" w:eastAsia="仿宋_GB2312" w:cs="Times New Roman"/>
          <w:sz w:val="28"/>
          <w:szCs w:val="28"/>
        </w:rPr>
        <w:t>水电费支出12,216.52元；</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⑷</w:t>
      </w:r>
      <w:r>
        <w:rPr>
          <w:rFonts w:hint="eastAsia" w:ascii="Times New Roman" w:hAnsi="Times New Roman" w:eastAsia="仿宋_GB2312" w:cs="Times New Roman"/>
          <w:sz w:val="28"/>
          <w:szCs w:val="28"/>
        </w:rPr>
        <w:t>交通</w:t>
      </w:r>
      <w:r>
        <w:rPr>
          <w:rFonts w:ascii="Times New Roman" w:hAnsi="Times New Roman" w:eastAsia="仿宋_GB2312" w:cs="Times New Roman"/>
          <w:sz w:val="28"/>
          <w:szCs w:val="28"/>
        </w:rPr>
        <w:t>费支出</w:t>
      </w:r>
      <w:r>
        <w:rPr>
          <w:rFonts w:hint="eastAsia" w:ascii="Times New Roman" w:hAnsi="Times New Roman" w:eastAsia="仿宋_GB2312" w:cs="Times New Roman"/>
          <w:sz w:val="28"/>
          <w:szCs w:val="28"/>
        </w:rPr>
        <w:t>295.03</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⑸</w:t>
      </w:r>
      <w:r>
        <w:rPr>
          <w:rFonts w:hint="eastAsia" w:ascii="Times New Roman" w:hAnsi="Times New Roman" w:eastAsia="仿宋_GB2312" w:cs="Times New Roman"/>
          <w:sz w:val="28"/>
          <w:szCs w:val="28"/>
        </w:rPr>
        <w:t>电信</w:t>
      </w:r>
      <w:r>
        <w:rPr>
          <w:rFonts w:ascii="Times New Roman" w:hAnsi="Times New Roman" w:eastAsia="仿宋_GB2312" w:cs="Times New Roman"/>
          <w:sz w:val="28"/>
          <w:szCs w:val="28"/>
        </w:rPr>
        <w:t>费支出</w:t>
      </w:r>
      <w:r>
        <w:rPr>
          <w:rFonts w:hint="eastAsia" w:ascii="Times New Roman" w:hAnsi="Times New Roman" w:eastAsia="仿宋_GB2312" w:cs="Times New Roman"/>
          <w:sz w:val="28"/>
          <w:szCs w:val="28"/>
        </w:rPr>
        <w:t>3,593.51</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w:t>
      </w:r>
    </w:p>
    <w:p>
      <w:pPr>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⑹</w:t>
      </w:r>
      <w:r>
        <w:rPr>
          <w:rFonts w:hint="eastAsia" w:ascii="Times New Roman" w:hAnsi="Times New Roman" w:eastAsia="仿宋_GB2312" w:cs="Times New Roman"/>
          <w:sz w:val="28"/>
          <w:szCs w:val="28"/>
        </w:rPr>
        <w:t>维修</w:t>
      </w:r>
      <w:r>
        <w:rPr>
          <w:rFonts w:ascii="Times New Roman" w:hAnsi="Times New Roman" w:eastAsia="仿宋_GB2312" w:cs="Times New Roman"/>
          <w:sz w:val="28"/>
          <w:szCs w:val="28"/>
        </w:rPr>
        <w:t>费支出</w:t>
      </w:r>
      <w:r>
        <w:rPr>
          <w:rFonts w:hint="eastAsia" w:ascii="Times New Roman" w:hAnsi="Times New Roman" w:eastAsia="仿宋_GB2312" w:cs="Times New Roman"/>
          <w:sz w:val="28"/>
          <w:szCs w:val="28"/>
        </w:rPr>
        <w:t>1,280.00</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w:t>
      </w:r>
    </w:p>
    <w:p>
      <w:pPr>
        <w:spacing w:line="58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⑺</w:t>
      </w:r>
      <w:r>
        <w:rPr>
          <w:rFonts w:hint="eastAsia" w:ascii="Times New Roman" w:hAnsi="Times New Roman" w:eastAsia="仿宋_GB2312" w:cs="Times New Roman"/>
          <w:sz w:val="28"/>
          <w:szCs w:val="28"/>
        </w:rPr>
        <w:t>银行手续</w:t>
      </w:r>
      <w:r>
        <w:rPr>
          <w:rFonts w:ascii="Times New Roman" w:hAnsi="Times New Roman" w:eastAsia="仿宋_GB2312" w:cs="Times New Roman"/>
          <w:sz w:val="28"/>
          <w:szCs w:val="28"/>
        </w:rPr>
        <w:t>费支出</w:t>
      </w:r>
      <w:r>
        <w:rPr>
          <w:rFonts w:hint="eastAsia" w:ascii="Times New Roman" w:hAnsi="Times New Roman" w:eastAsia="仿宋_GB2312" w:cs="Times New Roman"/>
          <w:sz w:val="28"/>
          <w:szCs w:val="28"/>
        </w:rPr>
        <w:t>501.00</w:t>
      </w:r>
      <w:r>
        <w:rPr>
          <w:rFonts w:ascii="Times New Roman" w:hAnsi="Times New Roman" w:eastAsia="仿宋_GB2312" w:cs="Times New Roman"/>
          <w:sz w:val="28"/>
          <w:szCs w:val="28"/>
        </w:rPr>
        <w:t>元</w:t>
      </w:r>
    </w:p>
    <w:p>
      <w:pPr>
        <w:spacing w:line="58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⑻</w:t>
      </w:r>
      <w:r>
        <w:rPr>
          <w:rFonts w:hint="eastAsia" w:ascii="Times New Roman" w:hAnsi="Times New Roman" w:eastAsia="仿宋_GB2312" w:cs="Times New Roman"/>
          <w:sz w:val="28"/>
          <w:szCs w:val="28"/>
        </w:rPr>
        <w:t>福利</w:t>
      </w:r>
      <w:r>
        <w:rPr>
          <w:rFonts w:ascii="Times New Roman" w:hAnsi="Times New Roman" w:eastAsia="仿宋_GB2312" w:cs="Times New Roman"/>
          <w:sz w:val="28"/>
          <w:szCs w:val="28"/>
        </w:rPr>
        <w:t>费支出</w:t>
      </w:r>
      <w:r>
        <w:rPr>
          <w:rFonts w:hint="eastAsia" w:ascii="Times New Roman" w:hAnsi="Times New Roman" w:eastAsia="仿宋_GB2312" w:cs="Times New Roman"/>
          <w:sz w:val="28"/>
          <w:szCs w:val="28"/>
        </w:rPr>
        <w:t>7,660.00</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，其中支付社工站中秋月饼费</w:t>
      </w:r>
      <w:r>
        <w:rPr>
          <w:rFonts w:ascii="Times New Roman" w:hAnsi="Times New Roman" w:eastAsia="仿宋_GB2312" w:cs="Times New Roman"/>
          <w:sz w:val="28"/>
          <w:szCs w:val="28"/>
        </w:rPr>
        <w:t>2,560.00</w:t>
      </w:r>
      <w:r>
        <w:rPr>
          <w:rFonts w:hint="eastAsia" w:ascii="Times New Roman" w:hAnsi="Times New Roman" w:eastAsia="仿宋_GB2312" w:cs="Times New Roman"/>
          <w:sz w:val="28"/>
          <w:szCs w:val="28"/>
        </w:rPr>
        <w:t>元（10月记19），支付社工站员工体检费</w:t>
      </w:r>
      <w:r>
        <w:rPr>
          <w:rFonts w:ascii="Times New Roman" w:hAnsi="Times New Roman" w:eastAsia="仿宋_GB2312" w:cs="Times New Roman"/>
          <w:sz w:val="28"/>
          <w:szCs w:val="28"/>
        </w:rPr>
        <w:t>5,100.00</w:t>
      </w:r>
      <w:r>
        <w:rPr>
          <w:rFonts w:hint="eastAsia" w:ascii="Times New Roman" w:hAnsi="Times New Roman" w:eastAsia="仿宋_GB2312" w:cs="Times New Roman"/>
          <w:sz w:val="28"/>
          <w:szCs w:val="28"/>
        </w:rPr>
        <w:t>元（12月记346）。</w:t>
      </w:r>
    </w:p>
    <w:p>
      <w:pPr>
        <w:spacing w:line="5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４、用于机构年度相关税费支出47,520.00元</w:t>
      </w:r>
    </w:p>
    <w:p>
      <w:pPr>
        <w:spacing w:line="58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w:t>
      </w:r>
      <w:r>
        <w:rPr>
          <w:rFonts w:hint="eastAsia" w:ascii="Times New Roman" w:hAnsi="Times New Roman" w:eastAsia="仿宋_GB2312" w:cs="Times New Roman"/>
          <w:sz w:val="28"/>
          <w:szCs w:val="28"/>
        </w:rPr>
        <w:t>112,247.44</w:t>
      </w:r>
      <w:r>
        <w:rPr>
          <w:rFonts w:ascii="Times New Roman" w:hAnsi="Times New Roman" w:eastAsia="仿宋_GB2312" w:cs="Times New Roman"/>
          <w:sz w:val="28"/>
          <w:szCs w:val="28"/>
        </w:rPr>
        <w:t>元，占</w:t>
      </w:r>
      <w:r>
        <w:rPr>
          <w:rFonts w:hint="eastAsia" w:ascii="Times New Roman" w:hAnsi="Times New Roman" w:eastAsia="仿宋_GB2312" w:cs="Times New Roman"/>
          <w:sz w:val="28"/>
          <w:szCs w:val="28"/>
        </w:rPr>
        <w:t>本协议期应收服务经费的4.68%</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本期</w:t>
      </w:r>
      <w:r>
        <w:rPr>
          <w:rFonts w:ascii="Times New Roman" w:hAnsi="Times New Roman" w:eastAsia="仿宋_GB2312" w:cs="Times New Roman"/>
          <w:sz w:val="28"/>
          <w:szCs w:val="28"/>
        </w:rPr>
        <w:t>预算执行率</w:t>
      </w:r>
      <w:r>
        <w:rPr>
          <w:rFonts w:hint="eastAsia" w:ascii="Times New Roman" w:hAnsi="Times New Roman" w:eastAsia="仿宋_GB2312" w:cs="Times New Roman"/>
          <w:sz w:val="28"/>
          <w:szCs w:val="28"/>
        </w:rPr>
        <w:t>（整体协议期）47.09%</w:t>
      </w:r>
      <w:r>
        <w:rPr>
          <w:rFonts w:ascii="Times New Roman" w:hAnsi="Times New Roman" w:eastAsia="仿宋_GB2312" w:cs="Times New Roman"/>
          <w:sz w:val="28"/>
          <w:szCs w:val="28"/>
        </w:rPr>
        <w:t>。其中：</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中标</w:t>
      </w:r>
      <w:r>
        <w:rPr>
          <w:rFonts w:ascii="Times New Roman" w:hAnsi="Times New Roman" w:eastAsia="仿宋_GB2312" w:cs="Times New Roman"/>
          <w:sz w:val="28"/>
          <w:szCs w:val="28"/>
        </w:rPr>
        <w:t>费支出</w:t>
      </w:r>
      <w:r>
        <w:rPr>
          <w:rFonts w:hint="eastAsia" w:ascii="Times New Roman" w:hAnsi="Times New Roman" w:eastAsia="仿宋_GB2312" w:cs="Times New Roman"/>
          <w:sz w:val="28"/>
          <w:szCs w:val="28"/>
        </w:rPr>
        <w:t>13,571.71</w:t>
      </w:r>
      <w:r>
        <w:rPr>
          <w:rFonts w:ascii="Times New Roman" w:hAnsi="Times New Roman" w:eastAsia="仿宋_GB2312" w:cs="Times New Roman"/>
          <w:sz w:val="28"/>
          <w:szCs w:val="28"/>
        </w:rPr>
        <w:t>元；</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、分摊机构人员工资</w:t>
      </w:r>
      <w:r>
        <w:rPr>
          <w:rFonts w:hint="eastAsia" w:ascii="Times New Roman" w:hAnsi="Times New Roman" w:eastAsia="仿宋_GB2312" w:cs="Times New Roman"/>
          <w:sz w:val="28"/>
          <w:szCs w:val="28"/>
        </w:rPr>
        <w:t>67,056.74</w:t>
      </w:r>
      <w:r>
        <w:rPr>
          <w:rFonts w:ascii="Times New Roman" w:hAnsi="Times New Roman" w:eastAsia="仿宋_GB2312" w:cs="Times New Roman"/>
          <w:sz w:val="28"/>
          <w:szCs w:val="28"/>
        </w:rPr>
        <w:t>元；</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分摊机构人员社保7,200.57</w:t>
      </w:r>
      <w:r>
        <w:rPr>
          <w:rFonts w:ascii="Times New Roman" w:hAnsi="Times New Roman" w:eastAsia="仿宋_GB2312" w:cs="Times New Roman"/>
          <w:sz w:val="28"/>
          <w:szCs w:val="28"/>
        </w:rPr>
        <w:t>元；</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分摊机构人员公积金4,233.36</w:t>
      </w:r>
      <w:r>
        <w:rPr>
          <w:rFonts w:ascii="Times New Roman" w:hAnsi="Times New Roman" w:eastAsia="仿宋_GB2312" w:cs="Times New Roman"/>
          <w:sz w:val="28"/>
          <w:szCs w:val="28"/>
        </w:rPr>
        <w:t>元；</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５</w:t>
      </w:r>
      <w:r>
        <w:rPr>
          <w:rFonts w:ascii="Times New Roman" w:hAnsi="Times New Roman" w:eastAsia="仿宋_GB2312" w:cs="Times New Roman"/>
          <w:sz w:val="28"/>
          <w:szCs w:val="28"/>
        </w:rPr>
        <w:t>、</w:t>
      </w:r>
      <w:bookmarkStart w:id="7" w:name="_Hlk116417775"/>
      <w:r>
        <w:rPr>
          <w:rFonts w:ascii="Times New Roman" w:hAnsi="Times New Roman" w:eastAsia="仿宋_GB2312" w:cs="Times New Roman"/>
          <w:sz w:val="28"/>
          <w:szCs w:val="28"/>
        </w:rPr>
        <w:t>分摊机构</w:t>
      </w:r>
      <w:bookmarkEnd w:id="7"/>
      <w:r>
        <w:rPr>
          <w:rFonts w:hint="eastAsia" w:ascii="Times New Roman" w:hAnsi="Times New Roman" w:eastAsia="仿宋_GB2312" w:cs="Times New Roman"/>
          <w:sz w:val="28"/>
          <w:szCs w:val="28"/>
        </w:rPr>
        <w:t>费用20,185.06</w:t>
      </w:r>
      <w:r>
        <w:rPr>
          <w:rFonts w:ascii="Times New Roman" w:hAnsi="Times New Roman" w:eastAsia="仿宋_GB2312" w:cs="Times New Roman"/>
          <w:sz w:val="28"/>
          <w:szCs w:val="28"/>
        </w:rPr>
        <w:t>元。</w:t>
      </w:r>
    </w:p>
    <w:p>
      <w:pPr>
        <w:spacing w:line="620" w:lineRule="exact"/>
        <w:ind w:right="-569" w:rightChars="-271"/>
        <w:outlineLvl w:val="0"/>
        <w:rPr>
          <w:rFonts w:ascii="Times New Roman" w:hAnsi="Times New Roman" w:eastAsia="仿宋"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七、前期经费收、支、结余变化情况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截至报告日，协议期2023年8月</w:t>
      </w:r>
      <w:r>
        <w:rPr>
          <w:rFonts w:hint="eastAsia" w:ascii="Times New Roman" w:hAnsi="Times New Roman" w:eastAsia="仿宋" w:cs="Times New Roman"/>
          <w:sz w:val="28"/>
          <w:szCs w:val="28"/>
        </w:rPr>
        <w:t>15</w:t>
      </w:r>
      <w:r>
        <w:rPr>
          <w:rFonts w:ascii="Times New Roman" w:hAnsi="Times New Roman" w:eastAsia="仿宋" w:cs="Times New Roman"/>
          <w:sz w:val="28"/>
          <w:szCs w:val="28"/>
        </w:rPr>
        <w:t>日至2024年8月</w:t>
      </w:r>
      <w:r>
        <w:rPr>
          <w:rFonts w:hint="eastAsia" w:ascii="Times New Roman" w:hAnsi="Times New Roman" w:eastAsia="仿宋" w:cs="Times New Roman"/>
          <w:sz w:val="28"/>
          <w:szCs w:val="28"/>
        </w:rPr>
        <w:t>14</w:t>
      </w:r>
      <w:r>
        <w:rPr>
          <w:rFonts w:ascii="Times New Roman" w:hAnsi="Times New Roman" w:eastAsia="仿宋" w:cs="Times New Roman"/>
          <w:sz w:val="28"/>
          <w:szCs w:val="28"/>
        </w:rPr>
        <w:t>日的结余资金有发生变动，具体情况如下：</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经评估，本评估期内收到该协议期服务经费200,000.00元，</w:t>
      </w:r>
      <w:r>
        <w:rPr>
          <w:rFonts w:hint="eastAsia" w:ascii="Times New Roman" w:hAnsi="Times New Roman" w:eastAsia="仿宋" w:cs="Times New Roman"/>
          <w:sz w:val="28"/>
          <w:szCs w:val="28"/>
        </w:rPr>
        <w:t>调整归属于该协议期支出</w:t>
      </w:r>
      <w:r>
        <w:rPr>
          <w:rFonts w:ascii="Times New Roman" w:hAnsi="Times New Roman" w:eastAsia="仿宋" w:cs="Times New Roman"/>
          <w:sz w:val="28"/>
          <w:szCs w:val="28"/>
        </w:rPr>
        <w:t>21,600.00元，均为服务质量保障费用</w:t>
      </w:r>
      <w:r>
        <w:rPr>
          <w:rFonts w:hint="eastAsia" w:ascii="Times New Roman" w:hAnsi="Times New Roman" w:eastAsia="仿宋" w:cs="Times New Roman"/>
          <w:sz w:val="28"/>
          <w:szCs w:val="28"/>
        </w:rPr>
        <w:t>（开具该协议期服务经费发票</w:t>
      </w:r>
      <w:r>
        <w:rPr>
          <w:rFonts w:ascii="Times New Roman" w:hAnsi="Times New Roman" w:eastAsia="仿宋" w:cs="Times New Roman"/>
          <w:sz w:val="28"/>
          <w:szCs w:val="28"/>
        </w:rPr>
        <w:t>360,000.00</w:t>
      </w:r>
      <w:r>
        <w:rPr>
          <w:rFonts w:hint="eastAsia" w:ascii="Times New Roman" w:hAnsi="Times New Roman" w:eastAsia="仿宋" w:cs="Times New Roman"/>
          <w:sz w:val="28"/>
          <w:szCs w:val="28"/>
        </w:rPr>
        <w:t>元产生的税费）</w:t>
      </w:r>
      <w:r>
        <w:rPr>
          <w:rFonts w:ascii="Times New Roman" w:hAnsi="Times New Roman" w:eastAsia="仿宋" w:cs="Times New Roman"/>
          <w:sz w:val="28"/>
          <w:szCs w:val="28"/>
        </w:rPr>
        <w:t>，调整后该协议期累计收到服务经费1,520,000.00元，实际累计支出2,368,645.50元，结余资金-848,645.50元（不含未拨入的</w:t>
      </w:r>
      <w:r>
        <w:rPr>
          <w:rFonts w:hint="eastAsia" w:ascii="Times New Roman" w:hAnsi="Times New Roman" w:eastAsia="仿宋" w:cs="Times New Roman"/>
          <w:sz w:val="28"/>
          <w:szCs w:val="28"/>
        </w:rPr>
        <w:t>880</w:t>
      </w:r>
      <w:r>
        <w:rPr>
          <w:rFonts w:ascii="Times New Roman" w:hAnsi="Times New Roman" w:eastAsia="仿宋" w:cs="Times New Roman"/>
          <w:sz w:val="28"/>
          <w:szCs w:val="28"/>
        </w:rPr>
        <w:t>,000.00元）。经评估，该协议期调整后人员费用及服务质量保障费用支出占服务总经费的90.93%，运营管理费用支出占服务总经费的7.77%。</w:t>
      </w:r>
    </w:p>
    <w:p>
      <w:pPr>
        <w:spacing w:line="600" w:lineRule="exact"/>
        <w:ind w:right="-569" w:rightChars="-271"/>
        <w:outlineLvl w:val="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八</w:t>
      </w:r>
      <w:r>
        <w:rPr>
          <w:rFonts w:ascii="Times New Roman" w:hAnsi="Times New Roman" w:eastAsia="仿宋_GB2312" w:cs="Times New Roman"/>
          <w:b/>
          <w:sz w:val="28"/>
          <w:szCs w:val="28"/>
        </w:rPr>
        <w:t>、累计结余情况（20</w:t>
      </w:r>
      <w:r>
        <w:rPr>
          <w:rFonts w:hint="eastAsia" w:ascii="Times New Roman" w:hAnsi="Times New Roman" w:eastAsia="仿宋_GB2312" w:cs="Times New Roman"/>
          <w:b/>
          <w:sz w:val="28"/>
          <w:szCs w:val="28"/>
        </w:rPr>
        <w:t>23</w:t>
      </w:r>
      <w:r>
        <w:rPr>
          <w:rFonts w:ascii="Times New Roman" w:hAnsi="Times New Roman" w:eastAsia="仿宋_GB2312" w:cs="Times New Roman"/>
          <w:b/>
          <w:sz w:val="28"/>
          <w:szCs w:val="28"/>
        </w:rPr>
        <w:t>年8月15日~2025年2月14日）</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自202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年8月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5日至2025年2月</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4日止，</w:t>
      </w:r>
      <w:r>
        <w:rPr>
          <w:rFonts w:hint="eastAsia" w:ascii="Times New Roman" w:hAnsi="Times New Roman" w:eastAsia="仿宋_GB2312" w:cs="Times New Roman"/>
          <w:sz w:val="28"/>
          <w:szCs w:val="28"/>
        </w:rPr>
        <w:t>南村镇西片</w:t>
      </w:r>
      <w:r>
        <w:rPr>
          <w:rFonts w:ascii="Times New Roman" w:hAnsi="Times New Roman" w:eastAsia="仿宋_GB2312" w:cs="Times New Roman"/>
          <w:sz w:val="28"/>
          <w:szCs w:val="28"/>
        </w:rPr>
        <w:t>社工站服务经费累计结余-2,083,208.51元。具体如下：</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02</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年8月15日至202</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年8月14日为南村镇西片社工站的</w:t>
      </w: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年服务周期，其中：</w:t>
      </w:r>
    </w:p>
    <w:p>
      <w:pPr>
        <w:spacing w:line="600" w:lineRule="exact"/>
        <w:ind w:firstLine="520" w:firstLineChars="200"/>
        <w:rPr>
          <w:rFonts w:ascii="Times New Roman" w:hAnsi="Times New Roman" w:eastAsia="仿宋_GB2312" w:cs="Times New Roman"/>
          <w:spacing w:val="-10"/>
          <w:sz w:val="28"/>
          <w:szCs w:val="28"/>
        </w:rPr>
      </w:pPr>
      <w:r>
        <w:rPr>
          <w:rFonts w:hint="eastAsia" w:ascii="Times New Roman" w:hAnsi="Times New Roman" w:eastAsia="仿宋_GB2312" w:cs="Times New Roman"/>
          <w:spacing w:val="-10"/>
          <w:sz w:val="28"/>
          <w:szCs w:val="28"/>
        </w:rPr>
        <w:t>第一年协议期</w:t>
      </w:r>
      <w:r>
        <w:rPr>
          <w:rFonts w:ascii="Times New Roman" w:hAnsi="Times New Roman" w:eastAsia="仿宋_GB2312" w:cs="Times New Roman"/>
          <w:spacing w:val="-10"/>
          <w:sz w:val="28"/>
          <w:szCs w:val="28"/>
        </w:rPr>
        <w:t>202</w:t>
      </w:r>
      <w:r>
        <w:rPr>
          <w:rFonts w:hint="eastAsia" w:ascii="Times New Roman" w:hAnsi="Times New Roman" w:eastAsia="仿宋_GB2312" w:cs="Times New Roman"/>
          <w:spacing w:val="-10"/>
          <w:sz w:val="28"/>
          <w:szCs w:val="28"/>
        </w:rPr>
        <w:t>3</w:t>
      </w:r>
      <w:r>
        <w:rPr>
          <w:rFonts w:ascii="Times New Roman" w:hAnsi="Times New Roman" w:eastAsia="仿宋_GB2312" w:cs="Times New Roman"/>
          <w:spacing w:val="-10"/>
          <w:sz w:val="28"/>
          <w:szCs w:val="28"/>
        </w:rPr>
        <w:t>年8月15日至20</w:t>
      </w:r>
      <w:r>
        <w:rPr>
          <w:rFonts w:hint="eastAsia" w:ascii="Times New Roman" w:hAnsi="Times New Roman" w:eastAsia="仿宋_GB2312" w:cs="Times New Roman"/>
          <w:spacing w:val="-10"/>
          <w:sz w:val="28"/>
          <w:szCs w:val="28"/>
        </w:rPr>
        <w:t>24</w:t>
      </w:r>
      <w:r>
        <w:rPr>
          <w:rFonts w:ascii="Times New Roman" w:hAnsi="Times New Roman" w:eastAsia="仿宋_GB2312" w:cs="Times New Roman"/>
          <w:spacing w:val="-10"/>
          <w:sz w:val="28"/>
          <w:szCs w:val="28"/>
        </w:rPr>
        <w:t>年</w:t>
      </w:r>
      <w:r>
        <w:rPr>
          <w:rFonts w:hint="eastAsia" w:ascii="Times New Roman" w:hAnsi="Times New Roman" w:eastAsia="仿宋_GB2312" w:cs="Times New Roman"/>
          <w:spacing w:val="-10"/>
          <w:sz w:val="28"/>
          <w:szCs w:val="28"/>
        </w:rPr>
        <w:t>8</w:t>
      </w:r>
      <w:r>
        <w:rPr>
          <w:rFonts w:ascii="Times New Roman" w:hAnsi="Times New Roman" w:eastAsia="仿宋_GB2312" w:cs="Times New Roman"/>
          <w:spacing w:val="-10"/>
          <w:sz w:val="28"/>
          <w:szCs w:val="28"/>
        </w:rPr>
        <w:t>月14日，结余资金-848,645.50</w:t>
      </w:r>
      <w:r>
        <w:rPr>
          <w:rFonts w:hint="eastAsia" w:ascii="Times New Roman" w:hAnsi="Times New Roman" w:eastAsia="仿宋_GB2312" w:cs="Times New Roman"/>
          <w:spacing w:val="-10"/>
          <w:sz w:val="28"/>
          <w:szCs w:val="28"/>
        </w:rPr>
        <w:t>元</w:t>
      </w:r>
      <w:r>
        <w:rPr>
          <w:rFonts w:ascii="Times New Roman" w:hAnsi="Times New Roman" w:eastAsia="仿宋_GB2312" w:cs="Times New Roman"/>
          <w:spacing w:val="-10"/>
          <w:sz w:val="28"/>
          <w:szCs w:val="28"/>
        </w:rPr>
        <w:t>。</w:t>
      </w:r>
    </w:p>
    <w:p>
      <w:pPr>
        <w:spacing w:line="620" w:lineRule="exact"/>
        <w:ind w:firstLine="528" w:firstLineChars="200"/>
        <w:rPr>
          <w:rFonts w:ascii="Times New Roman" w:hAnsi="Times New Roman" w:eastAsia="仿宋" w:cs="Times New Roman"/>
          <w:color w:val="000000" w:themeColor="text1"/>
          <w:spacing w:val="-8"/>
          <w:sz w:val="28"/>
          <w:szCs w:val="28"/>
          <w14:textFill>
            <w14:solidFill>
              <w14:schemeClr w14:val="tx1"/>
            </w14:solidFill>
          </w14:textFill>
        </w:rPr>
      </w:pPr>
      <w:r>
        <w:rPr>
          <w:rFonts w:ascii="Times New Roman" w:hAnsi="Times New Roman" w:eastAsia="仿宋" w:cs="Times New Roman"/>
          <w:color w:val="000000" w:themeColor="text1"/>
          <w:spacing w:val="-8"/>
          <w:sz w:val="28"/>
          <w:szCs w:val="28"/>
          <w14:textFill>
            <w14:solidFill>
              <w14:schemeClr w14:val="tx1"/>
            </w14:solidFill>
          </w14:textFill>
        </w:rPr>
        <w:t>本评估期2024年</w:t>
      </w:r>
      <w:r>
        <w:rPr>
          <w:rFonts w:ascii="Times New Roman" w:hAnsi="Times New Roman" w:eastAsia="仿宋_GB2312" w:cs="Times New Roman"/>
          <w:spacing w:val="-4"/>
          <w:sz w:val="28"/>
          <w:szCs w:val="28"/>
        </w:rPr>
        <w:t>8月15日</w:t>
      </w:r>
      <w:r>
        <w:rPr>
          <w:rFonts w:ascii="Times New Roman" w:hAnsi="Times New Roman" w:eastAsia="仿宋" w:cs="Times New Roman"/>
          <w:color w:val="000000" w:themeColor="text1"/>
          <w:spacing w:val="-8"/>
          <w:sz w:val="28"/>
          <w:szCs w:val="28"/>
          <w14:textFill>
            <w14:solidFill>
              <w14:schemeClr w14:val="tx1"/>
            </w14:solidFill>
          </w14:textFill>
        </w:rPr>
        <w:t>至20</w:t>
      </w:r>
      <w:r>
        <w:rPr>
          <w:rFonts w:hint="eastAsia" w:ascii="Times New Roman" w:hAnsi="Times New Roman" w:eastAsia="仿宋" w:cs="Times New Roman"/>
          <w:color w:val="000000" w:themeColor="text1"/>
          <w:spacing w:val="-8"/>
          <w:sz w:val="28"/>
          <w:szCs w:val="28"/>
          <w14:textFill>
            <w14:solidFill>
              <w14:schemeClr w14:val="tx1"/>
            </w14:solidFill>
          </w14:textFill>
        </w:rPr>
        <w:t>25</w:t>
      </w:r>
      <w:r>
        <w:rPr>
          <w:rFonts w:ascii="Times New Roman" w:hAnsi="Times New Roman" w:eastAsia="仿宋" w:cs="Times New Roman"/>
          <w:color w:val="000000" w:themeColor="text1"/>
          <w:spacing w:val="-8"/>
          <w:sz w:val="28"/>
          <w:szCs w:val="28"/>
          <w14:textFill>
            <w14:solidFill>
              <w14:schemeClr w14:val="tx1"/>
            </w14:solidFill>
          </w14:textFill>
        </w:rPr>
        <w:t>年</w:t>
      </w:r>
      <w:r>
        <w:rPr>
          <w:rFonts w:hint="eastAsia" w:ascii="Times New Roman" w:hAnsi="Times New Roman" w:eastAsia="仿宋" w:cs="Times New Roman"/>
          <w:color w:val="000000" w:themeColor="text1"/>
          <w:spacing w:val="-8"/>
          <w:sz w:val="28"/>
          <w:szCs w:val="28"/>
          <w14:textFill>
            <w14:solidFill>
              <w14:schemeClr w14:val="tx1"/>
            </w14:solidFill>
          </w14:textFill>
        </w:rPr>
        <w:t>2</w:t>
      </w:r>
      <w:r>
        <w:rPr>
          <w:rFonts w:ascii="Times New Roman" w:hAnsi="Times New Roman" w:eastAsia="仿宋" w:cs="Times New Roman"/>
          <w:color w:val="000000" w:themeColor="text1"/>
          <w:spacing w:val="-8"/>
          <w:sz w:val="28"/>
          <w:szCs w:val="28"/>
          <w14:textFill>
            <w14:solidFill>
              <w14:schemeClr w14:val="tx1"/>
            </w14:solidFill>
          </w14:textFill>
        </w:rPr>
        <w:t>月</w:t>
      </w:r>
      <w:r>
        <w:rPr>
          <w:rFonts w:hint="eastAsia" w:ascii="Times New Roman" w:hAnsi="Times New Roman" w:eastAsia="仿宋" w:cs="Times New Roman"/>
          <w:color w:val="000000" w:themeColor="text1"/>
          <w:spacing w:val="-8"/>
          <w:sz w:val="28"/>
          <w:szCs w:val="28"/>
          <w14:textFill>
            <w14:solidFill>
              <w14:schemeClr w14:val="tx1"/>
            </w14:solidFill>
          </w14:textFill>
        </w:rPr>
        <w:t>14</w:t>
      </w:r>
      <w:r>
        <w:rPr>
          <w:rFonts w:ascii="Times New Roman" w:hAnsi="Times New Roman" w:eastAsia="仿宋" w:cs="Times New Roman"/>
          <w:color w:val="000000" w:themeColor="text1"/>
          <w:spacing w:val="-8"/>
          <w:sz w:val="28"/>
          <w:szCs w:val="28"/>
          <w14:textFill>
            <w14:solidFill>
              <w14:schemeClr w14:val="tx1"/>
            </w14:solidFill>
          </w14:textFill>
        </w:rPr>
        <w:t>日，结余资金-1,234,563.01元。</w:t>
      </w:r>
    </w:p>
    <w:p>
      <w:pPr>
        <w:spacing w:line="600" w:lineRule="exact"/>
        <w:ind w:right="-569" w:rightChars="-271"/>
        <w:outlineLvl w:val="0"/>
        <w:rPr>
          <w:rFonts w:ascii="Times New Roman" w:hAnsi="Times New Roman" w:eastAsia="仿宋_GB2312" w:cs="Times New Roman"/>
          <w:sz w:val="28"/>
          <w:szCs w:val="28"/>
        </w:rPr>
      </w:pPr>
      <w:r>
        <w:rPr>
          <w:rFonts w:ascii="Times New Roman" w:hAnsi="Times New Roman" w:eastAsia="仿宋_GB2312" w:cs="Times New Roman"/>
          <w:b/>
          <w:sz w:val="28"/>
          <w:szCs w:val="28"/>
        </w:rPr>
        <w:t>八、评估结论</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w:t>
      </w:r>
      <w:r>
        <w:rPr>
          <w:rFonts w:hint="eastAsia" w:ascii="Times New Roman" w:hAnsi="Times New Roman" w:eastAsia="仿宋_GB2312" w:cs="Times New Roman"/>
          <w:sz w:val="28"/>
          <w:szCs w:val="28"/>
        </w:rPr>
        <w:t>评估</w:t>
      </w:r>
      <w:r>
        <w:rPr>
          <w:rFonts w:ascii="Times New Roman" w:hAnsi="Times New Roman" w:eastAsia="仿宋_GB2312" w:cs="Times New Roman"/>
          <w:sz w:val="28"/>
          <w:szCs w:val="28"/>
        </w:rPr>
        <w:t>，我们认为</w:t>
      </w:r>
      <w:r>
        <w:rPr>
          <w:rFonts w:hint="eastAsia" w:ascii="Times New Roman" w:hAnsi="Times New Roman" w:eastAsia="仿宋_GB2312" w:cs="Times New Roman"/>
          <w:sz w:val="28"/>
          <w:szCs w:val="28"/>
        </w:rPr>
        <w:t>广州市番禺区南村镇西片社工服务站</w:t>
      </w:r>
      <w:r>
        <w:rPr>
          <w:rFonts w:ascii="Times New Roman" w:hAnsi="Times New Roman" w:eastAsia="仿宋_GB2312" w:cs="Times New Roman"/>
          <w:sz w:val="28"/>
          <w:szCs w:val="28"/>
        </w:rPr>
        <w:t>本次财务评估等级为：合格。</w:t>
      </w:r>
    </w:p>
    <w:p>
      <w:pPr>
        <w:spacing w:line="60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九</w:t>
      </w:r>
      <w:r>
        <w:rPr>
          <w:rFonts w:ascii="Times New Roman" w:hAnsi="Times New Roman" w:eastAsia="仿宋_GB2312" w:cs="Times New Roman"/>
          <w:b/>
          <w:sz w:val="28"/>
          <w:szCs w:val="28"/>
        </w:rPr>
        <w:t>、其他事项</w:t>
      </w:r>
    </w:p>
    <w:p>
      <w:pPr>
        <w:spacing w:line="600" w:lineRule="exact"/>
        <w:ind w:firstLine="544" w:firstLineChars="200"/>
        <w:rPr>
          <w:rFonts w:ascii="Times New Roman" w:hAnsi="Times New Roman" w:eastAsia="仿宋" w:cs="Times New Roman"/>
          <w:spacing w:val="-4"/>
          <w:sz w:val="28"/>
          <w:szCs w:val="28"/>
        </w:rPr>
      </w:pPr>
      <w:r>
        <w:rPr>
          <w:rFonts w:ascii="Times New Roman" w:hAnsi="Times New Roman" w:eastAsia="仿宋" w:cs="Times New Roman"/>
          <w:color w:val="000000" w:themeColor="text1"/>
          <w:spacing w:val="-4"/>
          <w:sz w:val="28"/>
          <w:szCs w:val="28"/>
          <w14:textFill>
            <w14:solidFill>
              <w14:schemeClr w14:val="tx1"/>
            </w14:solidFill>
          </w14:textFill>
        </w:rPr>
        <w:t>本报告仅供本次委托目的，即对南村镇西片社工站财务评估使用，本事务所及本注册会计师不对运用本报告于其他目的造成的经济后果负责。</w:t>
      </w:r>
    </w:p>
    <w:p>
      <w:pPr>
        <w:spacing w:line="600" w:lineRule="exact"/>
        <w:rPr>
          <w:rFonts w:ascii="Times New Roman" w:hAnsi="Times New Roman" w:eastAsia="仿宋_GB2312" w:cs="Times New Roman"/>
          <w:sz w:val="28"/>
          <w:szCs w:val="28"/>
        </w:rPr>
      </w:pPr>
    </w:p>
    <w:p>
      <w:pPr>
        <w:spacing w:line="600" w:lineRule="exact"/>
        <w:ind w:left="850" w:leftChars="405"/>
        <w:rPr>
          <w:rFonts w:hint="eastAsia" w:ascii="Times New Roman" w:hAnsi="Times New Roman" w:eastAsia="仿宋_GB2312" w:cs="Times New Roman"/>
          <w:sz w:val="28"/>
          <w:szCs w:val="28"/>
        </w:rPr>
      </w:pPr>
    </w:p>
    <w:p>
      <w:pPr>
        <w:spacing w:line="600" w:lineRule="exact"/>
        <w:ind w:left="850" w:leftChars="405"/>
        <w:rPr>
          <w:rFonts w:ascii="Times New Roman" w:hAnsi="Times New Roman" w:eastAsia="仿宋_GB2312" w:cs="Times New Roman"/>
          <w:sz w:val="28"/>
          <w:szCs w:val="28"/>
        </w:rPr>
      </w:pPr>
    </w:p>
    <w:p>
      <w:pPr>
        <w:spacing w:line="600" w:lineRule="exact"/>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hint="eastAsia" w:ascii="宋体" w:hAnsi="宋体" w:eastAsia="宋体" w:cs="宋体"/>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五</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二十二</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docPartObj>
        <w:docPartGallery w:val="autotext"/>
      </w:docPartObj>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2CC9"/>
    <w:rsid w:val="0000408A"/>
    <w:rsid w:val="00011264"/>
    <w:rsid w:val="0001396F"/>
    <w:rsid w:val="0002755A"/>
    <w:rsid w:val="000317CE"/>
    <w:rsid w:val="00041B6A"/>
    <w:rsid w:val="00043872"/>
    <w:rsid w:val="000456F4"/>
    <w:rsid w:val="00055B05"/>
    <w:rsid w:val="0006463F"/>
    <w:rsid w:val="00064B63"/>
    <w:rsid w:val="00065A6C"/>
    <w:rsid w:val="0007191F"/>
    <w:rsid w:val="00071FB1"/>
    <w:rsid w:val="00072914"/>
    <w:rsid w:val="00086152"/>
    <w:rsid w:val="00097DB9"/>
    <w:rsid w:val="000B5517"/>
    <w:rsid w:val="000B5D8E"/>
    <w:rsid w:val="000B62CD"/>
    <w:rsid w:val="000C0A2A"/>
    <w:rsid w:val="000D7E47"/>
    <w:rsid w:val="000F0440"/>
    <w:rsid w:val="00102433"/>
    <w:rsid w:val="00110769"/>
    <w:rsid w:val="00116AFE"/>
    <w:rsid w:val="0012230B"/>
    <w:rsid w:val="00131D7E"/>
    <w:rsid w:val="00132A6B"/>
    <w:rsid w:val="00133E77"/>
    <w:rsid w:val="00134A5F"/>
    <w:rsid w:val="001370D5"/>
    <w:rsid w:val="00141B82"/>
    <w:rsid w:val="001524AE"/>
    <w:rsid w:val="0015779A"/>
    <w:rsid w:val="0016124C"/>
    <w:rsid w:val="00164A3C"/>
    <w:rsid w:val="00164A86"/>
    <w:rsid w:val="0016508D"/>
    <w:rsid w:val="00171040"/>
    <w:rsid w:val="00172280"/>
    <w:rsid w:val="0017382F"/>
    <w:rsid w:val="001747D2"/>
    <w:rsid w:val="001839F4"/>
    <w:rsid w:val="00185C33"/>
    <w:rsid w:val="00191F3C"/>
    <w:rsid w:val="001973EB"/>
    <w:rsid w:val="001A70D8"/>
    <w:rsid w:val="001A795B"/>
    <w:rsid w:val="001B0C80"/>
    <w:rsid w:val="001E0431"/>
    <w:rsid w:val="001E2299"/>
    <w:rsid w:val="001E6903"/>
    <w:rsid w:val="001F6520"/>
    <w:rsid w:val="00200AB0"/>
    <w:rsid w:val="002046F9"/>
    <w:rsid w:val="002146CD"/>
    <w:rsid w:val="00222200"/>
    <w:rsid w:val="002247D4"/>
    <w:rsid w:val="00225676"/>
    <w:rsid w:val="00237B72"/>
    <w:rsid w:val="00256E3D"/>
    <w:rsid w:val="00262365"/>
    <w:rsid w:val="002626C2"/>
    <w:rsid w:val="00265F2A"/>
    <w:rsid w:val="00273696"/>
    <w:rsid w:val="00273BCE"/>
    <w:rsid w:val="002868E8"/>
    <w:rsid w:val="002A000C"/>
    <w:rsid w:val="002A1692"/>
    <w:rsid w:val="002A7C06"/>
    <w:rsid w:val="002C6261"/>
    <w:rsid w:val="002D05A8"/>
    <w:rsid w:val="002D3986"/>
    <w:rsid w:val="002E00A9"/>
    <w:rsid w:val="002E0308"/>
    <w:rsid w:val="002E1BD7"/>
    <w:rsid w:val="002E2A02"/>
    <w:rsid w:val="002E4330"/>
    <w:rsid w:val="002F08AB"/>
    <w:rsid w:val="002F43BA"/>
    <w:rsid w:val="0030480B"/>
    <w:rsid w:val="0030717C"/>
    <w:rsid w:val="00312000"/>
    <w:rsid w:val="00320F91"/>
    <w:rsid w:val="00323877"/>
    <w:rsid w:val="0032571D"/>
    <w:rsid w:val="003318A3"/>
    <w:rsid w:val="00331E74"/>
    <w:rsid w:val="003329F7"/>
    <w:rsid w:val="00343DCB"/>
    <w:rsid w:val="00344B95"/>
    <w:rsid w:val="0035269F"/>
    <w:rsid w:val="00374A71"/>
    <w:rsid w:val="00387479"/>
    <w:rsid w:val="0039097A"/>
    <w:rsid w:val="00397A36"/>
    <w:rsid w:val="003B724D"/>
    <w:rsid w:val="003C520E"/>
    <w:rsid w:val="003C5C85"/>
    <w:rsid w:val="003D6963"/>
    <w:rsid w:val="003E56B4"/>
    <w:rsid w:val="003E7326"/>
    <w:rsid w:val="003E7701"/>
    <w:rsid w:val="003F2D93"/>
    <w:rsid w:val="003F5E00"/>
    <w:rsid w:val="00400171"/>
    <w:rsid w:val="004073F8"/>
    <w:rsid w:val="0041109A"/>
    <w:rsid w:val="00415C4F"/>
    <w:rsid w:val="00417C33"/>
    <w:rsid w:val="0043014F"/>
    <w:rsid w:val="004356BB"/>
    <w:rsid w:val="00441B0C"/>
    <w:rsid w:val="00446547"/>
    <w:rsid w:val="00450BB6"/>
    <w:rsid w:val="00456A81"/>
    <w:rsid w:val="00467250"/>
    <w:rsid w:val="00467F29"/>
    <w:rsid w:val="004727E9"/>
    <w:rsid w:val="00473792"/>
    <w:rsid w:val="00476D9A"/>
    <w:rsid w:val="00481251"/>
    <w:rsid w:val="004B2146"/>
    <w:rsid w:val="004B266C"/>
    <w:rsid w:val="004B523D"/>
    <w:rsid w:val="004B69E8"/>
    <w:rsid w:val="004B7044"/>
    <w:rsid w:val="004C2255"/>
    <w:rsid w:val="004C6CE1"/>
    <w:rsid w:val="004D6846"/>
    <w:rsid w:val="004E0162"/>
    <w:rsid w:val="004E08C2"/>
    <w:rsid w:val="004E2951"/>
    <w:rsid w:val="0050140C"/>
    <w:rsid w:val="005030FC"/>
    <w:rsid w:val="00510E05"/>
    <w:rsid w:val="00516189"/>
    <w:rsid w:val="00521B04"/>
    <w:rsid w:val="00525CAD"/>
    <w:rsid w:val="0052650D"/>
    <w:rsid w:val="0052700D"/>
    <w:rsid w:val="005442C3"/>
    <w:rsid w:val="0054626A"/>
    <w:rsid w:val="00546E36"/>
    <w:rsid w:val="00550020"/>
    <w:rsid w:val="00550D9E"/>
    <w:rsid w:val="0055514B"/>
    <w:rsid w:val="00556F42"/>
    <w:rsid w:val="005576ED"/>
    <w:rsid w:val="00563632"/>
    <w:rsid w:val="005708A7"/>
    <w:rsid w:val="00572760"/>
    <w:rsid w:val="0057312B"/>
    <w:rsid w:val="00573AB0"/>
    <w:rsid w:val="00573EF1"/>
    <w:rsid w:val="00583524"/>
    <w:rsid w:val="005855F9"/>
    <w:rsid w:val="00592B35"/>
    <w:rsid w:val="00594D45"/>
    <w:rsid w:val="005978DA"/>
    <w:rsid w:val="005A4E38"/>
    <w:rsid w:val="005B1BE8"/>
    <w:rsid w:val="005C6036"/>
    <w:rsid w:val="005C6C0F"/>
    <w:rsid w:val="005C7A89"/>
    <w:rsid w:val="005C7CB0"/>
    <w:rsid w:val="005D12C0"/>
    <w:rsid w:val="005E06D8"/>
    <w:rsid w:val="005E48DD"/>
    <w:rsid w:val="005F164C"/>
    <w:rsid w:val="005F35CE"/>
    <w:rsid w:val="005F52F8"/>
    <w:rsid w:val="005F5FE2"/>
    <w:rsid w:val="005F6D4D"/>
    <w:rsid w:val="005F74CF"/>
    <w:rsid w:val="00602725"/>
    <w:rsid w:val="00610693"/>
    <w:rsid w:val="00625937"/>
    <w:rsid w:val="00632C66"/>
    <w:rsid w:val="00636218"/>
    <w:rsid w:val="006450A8"/>
    <w:rsid w:val="0064720D"/>
    <w:rsid w:val="00655B2F"/>
    <w:rsid w:val="00675A60"/>
    <w:rsid w:val="00682678"/>
    <w:rsid w:val="00683341"/>
    <w:rsid w:val="006845F1"/>
    <w:rsid w:val="00684FAA"/>
    <w:rsid w:val="00692A32"/>
    <w:rsid w:val="00696135"/>
    <w:rsid w:val="006A2715"/>
    <w:rsid w:val="006A5A38"/>
    <w:rsid w:val="006A7C18"/>
    <w:rsid w:val="006B0BCE"/>
    <w:rsid w:val="006B1419"/>
    <w:rsid w:val="006C489D"/>
    <w:rsid w:val="006D0434"/>
    <w:rsid w:val="006D1191"/>
    <w:rsid w:val="006D4950"/>
    <w:rsid w:val="006E21E8"/>
    <w:rsid w:val="006E4926"/>
    <w:rsid w:val="006F3914"/>
    <w:rsid w:val="007032DF"/>
    <w:rsid w:val="0070572C"/>
    <w:rsid w:val="00710A61"/>
    <w:rsid w:val="007173BB"/>
    <w:rsid w:val="007340D0"/>
    <w:rsid w:val="0073489C"/>
    <w:rsid w:val="0074347B"/>
    <w:rsid w:val="00745A2F"/>
    <w:rsid w:val="00746338"/>
    <w:rsid w:val="00747433"/>
    <w:rsid w:val="0075737E"/>
    <w:rsid w:val="00767EEF"/>
    <w:rsid w:val="00771D21"/>
    <w:rsid w:val="007827B3"/>
    <w:rsid w:val="007926ED"/>
    <w:rsid w:val="007927E1"/>
    <w:rsid w:val="007A047D"/>
    <w:rsid w:val="007A50C4"/>
    <w:rsid w:val="007A5A98"/>
    <w:rsid w:val="007B5343"/>
    <w:rsid w:val="007B7796"/>
    <w:rsid w:val="007C082D"/>
    <w:rsid w:val="007D7166"/>
    <w:rsid w:val="007E372B"/>
    <w:rsid w:val="0080471D"/>
    <w:rsid w:val="0080529B"/>
    <w:rsid w:val="00807BA7"/>
    <w:rsid w:val="00807BE3"/>
    <w:rsid w:val="00810A07"/>
    <w:rsid w:val="00824AE7"/>
    <w:rsid w:val="008321FE"/>
    <w:rsid w:val="00843785"/>
    <w:rsid w:val="008443BD"/>
    <w:rsid w:val="008501D5"/>
    <w:rsid w:val="00852D37"/>
    <w:rsid w:val="00852F92"/>
    <w:rsid w:val="00855127"/>
    <w:rsid w:val="00856883"/>
    <w:rsid w:val="0086051F"/>
    <w:rsid w:val="00863D12"/>
    <w:rsid w:val="00876894"/>
    <w:rsid w:val="00883C29"/>
    <w:rsid w:val="008942DD"/>
    <w:rsid w:val="00896102"/>
    <w:rsid w:val="00897C30"/>
    <w:rsid w:val="00897D40"/>
    <w:rsid w:val="008A2A7D"/>
    <w:rsid w:val="008A44BD"/>
    <w:rsid w:val="008A5ADF"/>
    <w:rsid w:val="008B7EF7"/>
    <w:rsid w:val="008C3543"/>
    <w:rsid w:val="008C56DE"/>
    <w:rsid w:val="008C7615"/>
    <w:rsid w:val="008C7B77"/>
    <w:rsid w:val="008D477E"/>
    <w:rsid w:val="008D549A"/>
    <w:rsid w:val="008E14CF"/>
    <w:rsid w:val="008E3F36"/>
    <w:rsid w:val="008E6127"/>
    <w:rsid w:val="009005D9"/>
    <w:rsid w:val="00901230"/>
    <w:rsid w:val="00903490"/>
    <w:rsid w:val="00905374"/>
    <w:rsid w:val="009064EB"/>
    <w:rsid w:val="00926A47"/>
    <w:rsid w:val="009309A5"/>
    <w:rsid w:val="00933CB6"/>
    <w:rsid w:val="009367AD"/>
    <w:rsid w:val="0094449E"/>
    <w:rsid w:val="00952099"/>
    <w:rsid w:val="00953A03"/>
    <w:rsid w:val="0095423D"/>
    <w:rsid w:val="00954BA9"/>
    <w:rsid w:val="0095703D"/>
    <w:rsid w:val="009613FE"/>
    <w:rsid w:val="0096190D"/>
    <w:rsid w:val="00971F7B"/>
    <w:rsid w:val="009759AE"/>
    <w:rsid w:val="00993572"/>
    <w:rsid w:val="0099451A"/>
    <w:rsid w:val="00997BCF"/>
    <w:rsid w:val="009A0C80"/>
    <w:rsid w:val="009A2387"/>
    <w:rsid w:val="009A7747"/>
    <w:rsid w:val="009C3790"/>
    <w:rsid w:val="009C6946"/>
    <w:rsid w:val="00A02EAF"/>
    <w:rsid w:val="00A05242"/>
    <w:rsid w:val="00A10308"/>
    <w:rsid w:val="00A15DDD"/>
    <w:rsid w:val="00A21C64"/>
    <w:rsid w:val="00A4119A"/>
    <w:rsid w:val="00A411C8"/>
    <w:rsid w:val="00A43D5E"/>
    <w:rsid w:val="00A44649"/>
    <w:rsid w:val="00A52158"/>
    <w:rsid w:val="00A67D24"/>
    <w:rsid w:val="00A71F51"/>
    <w:rsid w:val="00A7659E"/>
    <w:rsid w:val="00A81DCB"/>
    <w:rsid w:val="00A90B0C"/>
    <w:rsid w:val="00A9361A"/>
    <w:rsid w:val="00A94714"/>
    <w:rsid w:val="00AA275E"/>
    <w:rsid w:val="00AA681D"/>
    <w:rsid w:val="00AB7B6E"/>
    <w:rsid w:val="00AC58BD"/>
    <w:rsid w:val="00AC65FD"/>
    <w:rsid w:val="00AD7854"/>
    <w:rsid w:val="00AE18D0"/>
    <w:rsid w:val="00AE258D"/>
    <w:rsid w:val="00AE285D"/>
    <w:rsid w:val="00AE3E25"/>
    <w:rsid w:val="00AF0139"/>
    <w:rsid w:val="00AF3EC7"/>
    <w:rsid w:val="00B15715"/>
    <w:rsid w:val="00B16EC7"/>
    <w:rsid w:val="00B234FC"/>
    <w:rsid w:val="00B27A0F"/>
    <w:rsid w:val="00B31D27"/>
    <w:rsid w:val="00B3292D"/>
    <w:rsid w:val="00B41E70"/>
    <w:rsid w:val="00B45DD2"/>
    <w:rsid w:val="00B45FAC"/>
    <w:rsid w:val="00B47376"/>
    <w:rsid w:val="00B55A3F"/>
    <w:rsid w:val="00B61767"/>
    <w:rsid w:val="00B634BC"/>
    <w:rsid w:val="00B63E4B"/>
    <w:rsid w:val="00B66EF3"/>
    <w:rsid w:val="00B67620"/>
    <w:rsid w:val="00B73D8A"/>
    <w:rsid w:val="00B86605"/>
    <w:rsid w:val="00B94C44"/>
    <w:rsid w:val="00BA4475"/>
    <w:rsid w:val="00BA44ED"/>
    <w:rsid w:val="00BA500F"/>
    <w:rsid w:val="00BC27F3"/>
    <w:rsid w:val="00BC46BE"/>
    <w:rsid w:val="00BC7ED9"/>
    <w:rsid w:val="00BD2F47"/>
    <w:rsid w:val="00BD5644"/>
    <w:rsid w:val="00BE22A5"/>
    <w:rsid w:val="00BE37CD"/>
    <w:rsid w:val="00BE4354"/>
    <w:rsid w:val="00BE4B22"/>
    <w:rsid w:val="00BE514B"/>
    <w:rsid w:val="00C03042"/>
    <w:rsid w:val="00C033D6"/>
    <w:rsid w:val="00C05FCA"/>
    <w:rsid w:val="00C10945"/>
    <w:rsid w:val="00C10D35"/>
    <w:rsid w:val="00C2086D"/>
    <w:rsid w:val="00C22583"/>
    <w:rsid w:val="00C41DD8"/>
    <w:rsid w:val="00C46491"/>
    <w:rsid w:val="00C50F29"/>
    <w:rsid w:val="00C56615"/>
    <w:rsid w:val="00C62630"/>
    <w:rsid w:val="00C802F7"/>
    <w:rsid w:val="00C81C71"/>
    <w:rsid w:val="00C82843"/>
    <w:rsid w:val="00C93A79"/>
    <w:rsid w:val="00CC094B"/>
    <w:rsid w:val="00CC7FE9"/>
    <w:rsid w:val="00CD2143"/>
    <w:rsid w:val="00CD408C"/>
    <w:rsid w:val="00CD60B2"/>
    <w:rsid w:val="00CD62D5"/>
    <w:rsid w:val="00CE08B9"/>
    <w:rsid w:val="00CF4034"/>
    <w:rsid w:val="00CF688E"/>
    <w:rsid w:val="00D01159"/>
    <w:rsid w:val="00D0409C"/>
    <w:rsid w:val="00D10308"/>
    <w:rsid w:val="00D11CA2"/>
    <w:rsid w:val="00D144A2"/>
    <w:rsid w:val="00D1483D"/>
    <w:rsid w:val="00D20E02"/>
    <w:rsid w:val="00D21D72"/>
    <w:rsid w:val="00D2209F"/>
    <w:rsid w:val="00D22C6A"/>
    <w:rsid w:val="00D24776"/>
    <w:rsid w:val="00D275F8"/>
    <w:rsid w:val="00D32C3A"/>
    <w:rsid w:val="00D348FD"/>
    <w:rsid w:val="00D36F78"/>
    <w:rsid w:val="00D40ACE"/>
    <w:rsid w:val="00D43332"/>
    <w:rsid w:val="00D44BFD"/>
    <w:rsid w:val="00D44D50"/>
    <w:rsid w:val="00D47C2A"/>
    <w:rsid w:val="00D51A02"/>
    <w:rsid w:val="00D5690B"/>
    <w:rsid w:val="00D63475"/>
    <w:rsid w:val="00D752C9"/>
    <w:rsid w:val="00D76704"/>
    <w:rsid w:val="00D8114D"/>
    <w:rsid w:val="00D82197"/>
    <w:rsid w:val="00D86161"/>
    <w:rsid w:val="00D867E3"/>
    <w:rsid w:val="00D93807"/>
    <w:rsid w:val="00D945A2"/>
    <w:rsid w:val="00D97736"/>
    <w:rsid w:val="00DA218A"/>
    <w:rsid w:val="00DB02C4"/>
    <w:rsid w:val="00DB1528"/>
    <w:rsid w:val="00DD1165"/>
    <w:rsid w:val="00DD4EA7"/>
    <w:rsid w:val="00DE2776"/>
    <w:rsid w:val="00DE38B1"/>
    <w:rsid w:val="00DE69C7"/>
    <w:rsid w:val="00E1694E"/>
    <w:rsid w:val="00E2003F"/>
    <w:rsid w:val="00E21B1D"/>
    <w:rsid w:val="00E22F65"/>
    <w:rsid w:val="00E2471E"/>
    <w:rsid w:val="00E27762"/>
    <w:rsid w:val="00E31E66"/>
    <w:rsid w:val="00E370F4"/>
    <w:rsid w:val="00E42764"/>
    <w:rsid w:val="00E54144"/>
    <w:rsid w:val="00E5741F"/>
    <w:rsid w:val="00E57618"/>
    <w:rsid w:val="00E57C7F"/>
    <w:rsid w:val="00E63CCD"/>
    <w:rsid w:val="00E70D75"/>
    <w:rsid w:val="00E728DD"/>
    <w:rsid w:val="00E72E37"/>
    <w:rsid w:val="00E86E25"/>
    <w:rsid w:val="00E92EEF"/>
    <w:rsid w:val="00EA6F18"/>
    <w:rsid w:val="00EA7203"/>
    <w:rsid w:val="00EC0150"/>
    <w:rsid w:val="00EC0A2B"/>
    <w:rsid w:val="00EC14AF"/>
    <w:rsid w:val="00EC3B64"/>
    <w:rsid w:val="00EC54BC"/>
    <w:rsid w:val="00ED03C6"/>
    <w:rsid w:val="00ED03D7"/>
    <w:rsid w:val="00EF35A0"/>
    <w:rsid w:val="00EF4F4B"/>
    <w:rsid w:val="00EF7ACF"/>
    <w:rsid w:val="00F04AEC"/>
    <w:rsid w:val="00F055B8"/>
    <w:rsid w:val="00F12621"/>
    <w:rsid w:val="00F14556"/>
    <w:rsid w:val="00F1624D"/>
    <w:rsid w:val="00F20C55"/>
    <w:rsid w:val="00F23A59"/>
    <w:rsid w:val="00F25686"/>
    <w:rsid w:val="00F279A9"/>
    <w:rsid w:val="00F279E8"/>
    <w:rsid w:val="00F31B05"/>
    <w:rsid w:val="00F36B85"/>
    <w:rsid w:val="00F549A2"/>
    <w:rsid w:val="00F66AC5"/>
    <w:rsid w:val="00F673A1"/>
    <w:rsid w:val="00F779B6"/>
    <w:rsid w:val="00F801CF"/>
    <w:rsid w:val="00F82D47"/>
    <w:rsid w:val="00F847B4"/>
    <w:rsid w:val="00F9631C"/>
    <w:rsid w:val="00FA1C78"/>
    <w:rsid w:val="00FA26C0"/>
    <w:rsid w:val="00FB6DAA"/>
    <w:rsid w:val="00FC0543"/>
    <w:rsid w:val="00FD3E88"/>
    <w:rsid w:val="00FD45C2"/>
    <w:rsid w:val="00FE3173"/>
    <w:rsid w:val="00FF0E1A"/>
    <w:rsid w:val="00FF27B5"/>
    <w:rsid w:val="00FF5841"/>
    <w:rsid w:val="1A302E1C"/>
    <w:rsid w:val="27572731"/>
    <w:rsid w:val="37647A49"/>
    <w:rsid w:val="3ACC7DDF"/>
    <w:rsid w:val="447D0DE7"/>
    <w:rsid w:val="702A63B1"/>
    <w:rsid w:val="76E7C6AA"/>
    <w:rsid w:val="7E680911"/>
    <w:rsid w:val="BFFD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Char"/>
    <w:basedOn w:val="9"/>
    <w:link w:val="6"/>
    <w:qFormat/>
    <w:uiPriority w:val="99"/>
    <w:rPr>
      <w:rFonts w:asciiTheme="minorHAnsi" w:hAnsiTheme="minorHAnsi" w:eastAsiaTheme="minorEastAsia" w:cstheme="minorBidi"/>
      <w:kern w:val="2"/>
      <w:sz w:val="18"/>
      <w:szCs w:val="18"/>
    </w:rPr>
  </w:style>
  <w:style w:type="character" w:customStyle="1" w:styleId="13">
    <w:name w:val="页脚 Char"/>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Char"/>
    <w:basedOn w:val="9"/>
    <w:link w:val="3"/>
    <w:qFormat/>
    <w:uiPriority w:val="0"/>
    <w:rPr>
      <w:kern w:val="2"/>
      <w:sz w:val="18"/>
      <w:szCs w:val="24"/>
    </w:rPr>
  </w:style>
  <w:style w:type="character" w:customStyle="1" w:styleId="15">
    <w:name w:val="批注文字 Char"/>
    <w:basedOn w:val="9"/>
    <w:link w:val="2"/>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7"/>
    <w:qFormat/>
    <w:uiPriority w:val="0"/>
    <w:rPr>
      <w:rFonts w:asciiTheme="minorHAnsi" w:hAnsiTheme="minorHAnsi" w:eastAsiaTheme="minorEastAsia" w:cstheme="minorBidi"/>
      <w:b/>
      <w:bCs/>
      <w:kern w:val="2"/>
      <w:sz w:val="21"/>
      <w:szCs w:val="24"/>
    </w:rPr>
  </w:style>
  <w:style w:type="paragraph" w:customStyle="1" w:styleId="1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708</Words>
  <Characters>4041</Characters>
  <Lines>33</Lines>
  <Paragraphs>9</Paragraphs>
  <TotalTime>574</TotalTime>
  <ScaleCrop>false</ScaleCrop>
  <LinksUpToDate>false</LinksUpToDate>
  <CharactersWithSpaces>4740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2022-09-20T19:38:00Z</dcterms:created>
  <dc:creator>Dumpling</dc:creator>
  <cp:lastModifiedBy>Administrator</cp:lastModifiedBy>
  <cp:lastPrinted>2025-04-19T00:33:00Z</cp:lastPrinted>
  <dcterms:modified xsi:type="dcterms:W3CDTF">2025-06-10T03:13:50Z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2695D4B8516A438098C41C184C663FF8</vt:lpwstr>
  </property>
  <property fmtid="{D5CDD505-2E9C-101B-9397-08002B2CF9AE}" pid="4" name="KSOTemplateDocerSaveRecord">
    <vt:lpwstr>eyJoZGlkIjoiZGVhOWNjNTVmMjhmZDI1MDNiNmIxODU0OGFhMWExYTEiLCJ1c2VySWQiOiI0MTE3NjgwOTUifQ==</vt:lpwstr>
  </property>
</Properties>
</file>