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Times New Roman" w:hAnsi="Times New Roman" w:cs="Times New Roman"/>
          <w:color w:val="000000"/>
          <w:sz w:val="24"/>
        </w:rPr>
      </w:pPr>
      <w:bookmarkStart w:id="4" w:name="_GoBack"/>
      <w:bookmarkEnd w:id="4"/>
      <w:bookmarkStart w:id="0" w:name="_Hlk110948188"/>
      <w:r>
        <w:rPr>
          <w:rFonts w:ascii="Times New Roman" w:hAnsi="Times New Roman" w:cs="Times New Roman"/>
          <w:color w:val="000000"/>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pPr>
                              <w:spacing w:line="170" w:lineRule="exact"/>
                              <w:jc w:val="distribute"/>
                              <w:rPr>
                                <w:rFonts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">
                <v:fill on="f" focussize="0,0"/>
                <v:stroke on="f"/>
                <v:imagedata o:title=""/>
                <o:lock v:ext="edit" aspectratio="f"/>
                <v:textbox inset="0mm,0mm,0mm,0mm">
                  <w:txbxContent>
                    <w:p>
                      <w:pPr>
                        <w:spacing w:line="170" w:lineRule="exact"/>
                        <w:jc w:val="distribute"/>
                        <w:rPr>
                          <w:rFonts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">
                <v:fill on="f" focussize="0,0"/>
                <v:stroke weight="1pt" color="#000000" joinstyle="round"/>
                <v:imagedata o:title=""/>
                <o:lock v:ext="edit" aspectratio="f"/>
              </v:line>
            </w:pict>
          </mc:Fallback>
        </mc:AlternateContent>
      </w:r>
      <w:r>
        <w:rPr>
          <w:rFonts w:ascii="Times New Roman" w:hAnsi="Times New Roman" w:cs="Times New Roman"/>
          <w:color w:val="000000"/>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rFonts w:ascii="Times New Roman" w:hAnsi="Times New Roman"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63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">
                <v:fill on="f" focussize="0,0"/>
                <v:stroke on="f"/>
                <v:imagedata o:title=""/>
                <o:lock v:ext="edit" aspectratio="f"/>
                <v:textbox inset="0mm,0mm,0mm,0mm">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12700" b="114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02</w:t>
                            </w:r>
                          </w:p>
                          <w:p>
                            <w:pPr>
                              <w:spacing w:line="220" w:lineRule="exact"/>
                              <w:jc w:val="distribute"/>
                              <w:rPr>
                                <w:rFonts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">
                <v:fill on="f" focussize="0,0"/>
                <v:stroke on="f"/>
                <v:imagedata o:title=""/>
                <o:lock v:ext="edit" aspectratio="f"/>
                <v:textbox inset="0mm,0mm,0mm,0mm">
                  <w:txbxContent>
                    <w:p>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02</w:t>
                      </w:r>
                    </w:p>
                    <w:p>
                      <w:pPr>
                        <w:spacing w:line="220" w:lineRule="exact"/>
                        <w:jc w:val="distribute"/>
                        <w:rPr>
                          <w:rFonts w:ascii="宋体" w:hAnsi="宋体"/>
                          <w:spacing w:val="-8"/>
                          <w:sz w:val="16"/>
                          <w:szCs w:val="16"/>
                        </w:rPr>
                      </w:pPr>
                    </w:p>
                  </w:txbxContent>
                </v:textbox>
              </v:shape>
            </w:pict>
          </mc:Fallback>
        </mc:AlternateContent>
      </w:r>
    </w:p>
    <w:p>
      <w:pPr>
        <w:spacing w:line="400" w:lineRule="exact"/>
        <w:ind w:left="6300" w:leftChars="3000" w:right="15" w:rightChars="7" w:firstLine="117" w:firstLineChars="42"/>
        <w:jc w:val="right"/>
        <w:rPr>
          <w:rFonts w:ascii="Times New Roman" w:hAnsi="Times New Roman" w:eastAsia="仿宋_GB2312" w:cs="Times New Roman"/>
          <w:color w:val="000000"/>
          <w:sz w:val="28"/>
          <w:szCs w:val="28"/>
        </w:rPr>
      </w:pPr>
      <w:bookmarkStart w:id="1" w:name="_Hlk110948178"/>
      <w:r>
        <w:rPr>
          <w:rFonts w:ascii="Times New Roman" w:hAnsi="Times New Roman" w:eastAsia="仿宋_GB2312" w:cs="Times New Roman"/>
          <w:color w:val="000000"/>
          <w:sz w:val="28"/>
          <w:szCs w:val="28"/>
        </w:rPr>
        <w:t>业会专审[202</w:t>
      </w:r>
      <w:r>
        <w:rPr>
          <w:rFonts w:hint="eastAsia" w:ascii="Times New Roman" w:hAnsi="Times New Roman" w:eastAsia="仿宋_GB2312" w:cs="Times New Roman"/>
          <w:color w:val="000000"/>
          <w:sz w:val="28"/>
          <w:szCs w:val="28"/>
        </w:rPr>
        <w:t>5</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044</w:t>
      </w:r>
      <w:r>
        <w:rPr>
          <w:rFonts w:ascii="Times New Roman" w:hAnsi="Times New Roman" w:eastAsia="仿宋_GB2312" w:cs="Times New Roman"/>
          <w:color w:val="000000"/>
          <w:sz w:val="28"/>
          <w:szCs w:val="28"/>
        </w:rPr>
        <w:t>号</w:t>
      </w:r>
    </w:p>
    <w:bookmarkEnd w:id="0"/>
    <w:bookmarkEnd w:id="1"/>
    <w:p>
      <w:pPr>
        <w:jc w:val="center"/>
        <w:rPr>
          <w:rFonts w:ascii="Times New Roman" w:hAnsi="Times New Roman" w:eastAsia="仿宋_GB2312" w:cs="Times New Roman"/>
          <w:b/>
          <w:bCs/>
          <w:sz w:val="40"/>
          <w:szCs w:val="48"/>
        </w:rPr>
      </w:pPr>
    </w:p>
    <w:p>
      <w:pPr>
        <w:spacing w:line="600" w:lineRule="exact"/>
        <w:jc w:val="center"/>
        <w:rPr>
          <w:rFonts w:ascii="Times New Roman" w:hAnsi="Times New Roman" w:eastAsia="宋体" w:cs="Times New Roman"/>
          <w:b/>
          <w:sz w:val="28"/>
          <w:szCs w:val="30"/>
        </w:rPr>
      </w:pPr>
      <w:r>
        <w:rPr>
          <w:rFonts w:ascii="Times New Roman" w:hAnsi="Times New Roman" w:eastAsia="宋体" w:cs="Times New Roman"/>
          <w:b/>
          <w:sz w:val="28"/>
          <w:szCs w:val="30"/>
        </w:rPr>
        <w:t>关于对广州市番禺区小谷围街社工服务站</w:t>
      </w:r>
    </w:p>
    <w:p>
      <w:pPr>
        <w:spacing w:line="600" w:lineRule="exact"/>
        <w:jc w:val="center"/>
        <w:rPr>
          <w:rFonts w:ascii="Times New Roman" w:hAnsi="Times New Roman" w:eastAsia="宋体" w:cs="Times New Roman"/>
          <w:b/>
          <w:sz w:val="28"/>
          <w:szCs w:val="30"/>
        </w:rPr>
      </w:pPr>
      <w:r>
        <w:rPr>
          <w:rFonts w:ascii="Times New Roman" w:hAnsi="Times New Roman" w:eastAsia="宋体" w:cs="Times New Roman"/>
          <w:b/>
          <w:sz w:val="28"/>
          <w:szCs w:val="30"/>
        </w:rPr>
        <w:t>202</w:t>
      </w:r>
      <w:r>
        <w:rPr>
          <w:rFonts w:hint="eastAsia" w:ascii="Times New Roman" w:hAnsi="Times New Roman" w:eastAsia="宋体" w:cs="Times New Roman"/>
          <w:b/>
          <w:sz w:val="28"/>
          <w:szCs w:val="30"/>
        </w:rPr>
        <w:t>4</w:t>
      </w:r>
      <w:r>
        <w:rPr>
          <w:rFonts w:ascii="Times New Roman" w:hAnsi="Times New Roman" w:eastAsia="宋体" w:cs="Times New Roman"/>
          <w:b/>
          <w:sz w:val="28"/>
          <w:szCs w:val="30"/>
        </w:rPr>
        <w:t>年</w:t>
      </w:r>
      <w:r>
        <w:rPr>
          <w:rFonts w:hint="eastAsia" w:ascii="Times New Roman" w:hAnsi="Times New Roman" w:eastAsia="宋体" w:cs="Times New Roman"/>
          <w:b/>
          <w:sz w:val="28"/>
          <w:szCs w:val="30"/>
        </w:rPr>
        <w:t>8</w:t>
      </w:r>
      <w:r>
        <w:rPr>
          <w:rFonts w:ascii="Times New Roman" w:hAnsi="Times New Roman" w:eastAsia="宋体" w:cs="Times New Roman"/>
          <w:b/>
          <w:sz w:val="28"/>
          <w:szCs w:val="30"/>
        </w:rPr>
        <w:t>月</w:t>
      </w:r>
      <w:r>
        <w:rPr>
          <w:rFonts w:hint="eastAsia" w:ascii="Times New Roman" w:hAnsi="Times New Roman" w:eastAsia="宋体" w:cs="Times New Roman"/>
          <w:b/>
          <w:sz w:val="28"/>
          <w:szCs w:val="30"/>
        </w:rPr>
        <w:t>15</w:t>
      </w:r>
      <w:r>
        <w:rPr>
          <w:rFonts w:ascii="Times New Roman" w:hAnsi="Times New Roman" w:eastAsia="宋体" w:cs="Times New Roman"/>
          <w:b/>
          <w:sz w:val="28"/>
          <w:szCs w:val="30"/>
        </w:rPr>
        <w:t>日至202</w:t>
      </w:r>
      <w:r>
        <w:rPr>
          <w:rFonts w:hint="eastAsia" w:ascii="Times New Roman" w:hAnsi="Times New Roman" w:eastAsia="宋体" w:cs="Times New Roman"/>
          <w:b/>
          <w:sz w:val="28"/>
          <w:szCs w:val="30"/>
        </w:rPr>
        <w:t>5</w:t>
      </w:r>
      <w:r>
        <w:rPr>
          <w:rFonts w:ascii="Times New Roman" w:hAnsi="Times New Roman" w:eastAsia="宋体" w:cs="Times New Roman"/>
          <w:b/>
          <w:sz w:val="28"/>
          <w:szCs w:val="30"/>
        </w:rPr>
        <w:t>年</w:t>
      </w:r>
      <w:r>
        <w:rPr>
          <w:rFonts w:hint="eastAsia" w:ascii="Times New Roman" w:hAnsi="Times New Roman" w:eastAsia="宋体" w:cs="Times New Roman"/>
          <w:b/>
          <w:sz w:val="28"/>
          <w:szCs w:val="30"/>
        </w:rPr>
        <w:t>2</w:t>
      </w:r>
      <w:r>
        <w:rPr>
          <w:rFonts w:ascii="Times New Roman" w:hAnsi="Times New Roman" w:eastAsia="宋体" w:cs="Times New Roman"/>
          <w:b/>
          <w:sz w:val="28"/>
          <w:szCs w:val="30"/>
        </w:rPr>
        <w:t>月</w:t>
      </w:r>
      <w:r>
        <w:rPr>
          <w:rFonts w:hint="eastAsia" w:ascii="Times New Roman" w:hAnsi="Times New Roman" w:eastAsia="宋体" w:cs="Times New Roman"/>
          <w:b/>
          <w:sz w:val="28"/>
          <w:szCs w:val="30"/>
        </w:rPr>
        <w:t>14</w:t>
      </w:r>
      <w:r>
        <w:rPr>
          <w:rFonts w:ascii="Times New Roman" w:hAnsi="Times New Roman" w:eastAsia="宋体" w:cs="Times New Roman"/>
          <w:b/>
          <w:sz w:val="28"/>
          <w:szCs w:val="30"/>
        </w:rPr>
        <w:t>日财务管理情况评估报告</w:t>
      </w:r>
    </w:p>
    <w:p>
      <w:pPr>
        <w:spacing w:line="360" w:lineRule="auto"/>
        <w:jc w:val="center"/>
        <w:rPr>
          <w:rFonts w:ascii="Times New Roman" w:hAnsi="Times New Roman" w:eastAsia="仿宋_GB2312" w:cs="Times New Roman"/>
          <w:sz w:val="28"/>
          <w:szCs w:val="28"/>
        </w:rPr>
      </w:pPr>
    </w:p>
    <w:p>
      <w:pPr>
        <w:spacing w:line="600" w:lineRule="exact"/>
        <w:ind w:right="-8"/>
        <w:rPr>
          <w:rFonts w:ascii="Times New Roman" w:hAnsi="Times New Roman" w:eastAsia="楷体" w:cs="Times New Roman"/>
          <w:b/>
          <w:spacing w:val="-10"/>
          <w:sz w:val="28"/>
          <w:szCs w:val="28"/>
        </w:rPr>
      </w:pPr>
      <w:r>
        <w:rPr>
          <w:rFonts w:ascii="Times New Roman" w:hAnsi="Times New Roman" w:eastAsia="楷体" w:cs="Times New Roman"/>
          <w:b/>
          <w:spacing w:val="-10"/>
          <w:sz w:val="28"/>
          <w:szCs w:val="28"/>
        </w:rPr>
        <w:t>广州市番禺区社区建设指导中心：</w:t>
      </w:r>
    </w:p>
    <w:p>
      <w:pPr>
        <w:spacing w:line="600" w:lineRule="exact"/>
        <w:ind w:right="-6" w:rightChars="-3" w:firstLine="560" w:firstLineChars="200"/>
        <w:rPr>
          <w:rFonts w:ascii="Times New Roman" w:hAnsi="Times New Roman" w:eastAsia="仿宋" w:cs="Times New Roman"/>
          <w:sz w:val="28"/>
          <w:szCs w:val="28"/>
        </w:rPr>
      </w:pPr>
      <w:r>
        <w:rPr>
          <w:rFonts w:ascii="Times New Roman" w:hAnsi="Times New Roman" w:eastAsia="仿宋_GB2312" w:cs="Times New Roman"/>
          <w:sz w:val="28"/>
          <w:szCs w:val="28"/>
        </w:rPr>
        <w:t>我们接受委托，对广州市番禺区小谷围街社工服务站（以下简称小谷围社工站）202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15</w:t>
      </w:r>
      <w:r>
        <w:rPr>
          <w:rFonts w:ascii="Times New Roman" w:hAnsi="Times New Roman" w:eastAsia="仿宋_GB2312" w:cs="Times New Roman"/>
          <w:sz w:val="28"/>
          <w:szCs w:val="28"/>
        </w:rPr>
        <w:t>日至</w:t>
      </w:r>
      <w:r>
        <w:rPr>
          <w:rFonts w:hint="eastAsia" w:ascii="Times New Roman" w:hAnsi="Times New Roman" w:eastAsia="仿宋_GB2312" w:cs="Times New Roman"/>
          <w:sz w:val="28"/>
          <w:szCs w:val="28"/>
        </w:rPr>
        <w:t>2025年2月14日</w:t>
      </w:r>
      <w:r>
        <w:rPr>
          <w:rFonts w:ascii="Times New Roman" w:hAnsi="Times New Roman" w:eastAsia="仿宋_GB2312" w:cs="Times New Roman"/>
          <w:sz w:val="28"/>
          <w:szCs w:val="28"/>
        </w:rPr>
        <w:t>财务管理情况进行评估。</w:t>
      </w:r>
      <w:r>
        <w:rPr>
          <w:rFonts w:ascii="Times New Roman" w:hAnsi="Times New Roman" w:eastAsia="仿宋" w:cs="Times New Roman"/>
          <w:sz w:val="28"/>
          <w:szCs w:val="28"/>
        </w:rPr>
        <w:t>提供真实、合法、完整的会计资料和评估相关资料是</w:t>
      </w:r>
      <w:r>
        <w:rPr>
          <w:rFonts w:ascii="Times New Roman" w:hAnsi="Times New Roman" w:eastAsia="仿宋_GB2312" w:cs="Times New Roman"/>
          <w:sz w:val="28"/>
          <w:szCs w:val="28"/>
        </w:rPr>
        <w:t>小谷围社工站及其承接机构的责任，</w:t>
      </w:r>
      <w:r>
        <w:rPr>
          <w:rFonts w:ascii="Times New Roman" w:hAnsi="Times New Roman" w:eastAsia="仿宋" w:cs="Times New Roman"/>
          <w:sz w:val="28"/>
          <w:szCs w:val="28"/>
        </w:rPr>
        <w:t>我们的责任是依据《中国注册会计师执业准则》、《中华人民共和国会计法》、《会计基础工作规范》、《民间非营利组织会计制度》、</w:t>
      </w:r>
      <w:r>
        <w:rPr>
          <w:rFonts w:hint="eastAsia" w:ascii="Times New Roman" w:hAnsi="Times New Roman" w:eastAsia="仿宋" w:cs="Times New Roman"/>
          <w:sz w:val="28"/>
          <w:szCs w:val="28"/>
        </w:rPr>
        <w:t>《广州市人民政府办公厅关于印发广州市社工服务站管理办法的通知》（穗府办〔2023〕7号）、《广州市民政局关于印发〈广州市社工服务站管理办法〉有关配套文件的通知》（穗民〔2023〕97号）</w:t>
      </w:r>
      <w:r>
        <w:rPr>
          <w:rFonts w:ascii="Times New Roman" w:hAnsi="Times New Roman" w:eastAsia="仿宋" w:cs="Times New Roman"/>
          <w:sz w:val="28"/>
          <w:szCs w:val="28"/>
        </w:rPr>
        <w:t>及广州市番禺区人民政府小谷围街道办事处与社工服务站承接机构签订的购买服务协议中相关约定，对小谷围社工站的财务管理情况进行审核，并出具财务评估报告。</w:t>
      </w:r>
    </w:p>
    <w:p>
      <w:pPr>
        <w:spacing w:line="60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按照中国注册会计师职业道德守则，我们独立于小谷围社工站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现将评估结果报告如下：</w:t>
      </w:r>
    </w:p>
    <w:p>
      <w:pPr>
        <w:spacing w:line="620" w:lineRule="exact"/>
        <w:ind w:right="-6" w:rightChars="-3"/>
        <w:rPr>
          <w:rFonts w:ascii="Times New Roman" w:hAnsi="Times New Roman" w:eastAsia="仿宋_GB2312" w:cs="Times New Roman"/>
          <w:b/>
          <w:sz w:val="28"/>
          <w:szCs w:val="28"/>
        </w:rPr>
      </w:pPr>
      <w:r>
        <w:rPr>
          <w:rFonts w:ascii="Times New Roman" w:hAnsi="Times New Roman" w:eastAsia="仿宋_GB2312" w:cs="Times New Roman"/>
          <w:b/>
          <w:sz w:val="28"/>
          <w:szCs w:val="28"/>
        </w:rPr>
        <w:t>一、小谷围社工站基本情况</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承接机构名称：广州市番禺区正阳社会工作服务中心。</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承接机构法定代表人：刘玉平。</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招标采购周期：</w:t>
      </w:r>
      <w:r>
        <w:rPr>
          <w:rFonts w:ascii="Times New Roman" w:hAnsi="Times New Roman" w:eastAsia="仿宋" w:cs="Times New Roman"/>
          <w:color w:val="000000" w:themeColor="text1"/>
          <w:sz w:val="28"/>
          <w:szCs w:val="28"/>
          <w14:textFill>
            <w14:solidFill>
              <w14:schemeClr w14:val="tx1"/>
            </w14:solidFill>
          </w14:textFill>
        </w:rPr>
        <w:t>20</w:t>
      </w:r>
      <w:r>
        <w:rPr>
          <w:rFonts w:hint="eastAsia" w:ascii="Times New Roman" w:hAnsi="Times New Roman" w:eastAsia="仿宋" w:cs="Times New Roman"/>
          <w:color w:val="000000" w:themeColor="text1"/>
          <w:sz w:val="28"/>
          <w:szCs w:val="28"/>
          <w14:textFill>
            <w14:solidFill>
              <w14:schemeClr w14:val="tx1"/>
            </w14:solidFill>
          </w14:textFill>
        </w:rPr>
        <w:t>24</w:t>
      </w:r>
      <w:r>
        <w:rPr>
          <w:rFonts w:ascii="Times New Roman" w:hAnsi="Times New Roman" w:eastAsia="仿宋" w:cs="Times New Roman"/>
          <w:color w:val="000000" w:themeColor="text1"/>
          <w:sz w:val="28"/>
          <w:szCs w:val="28"/>
          <w14:textFill>
            <w14:solidFill>
              <w14:schemeClr w14:val="tx1"/>
            </w14:solidFill>
          </w14:textFill>
        </w:rPr>
        <w:t>年</w:t>
      </w:r>
      <w:r>
        <w:rPr>
          <w:rFonts w:hint="eastAsia" w:ascii="Times New Roman" w:hAnsi="Times New Roman" w:eastAsia="仿宋" w:cs="Times New Roman"/>
          <w:color w:val="000000" w:themeColor="text1"/>
          <w:sz w:val="28"/>
          <w:szCs w:val="28"/>
          <w14:textFill>
            <w14:solidFill>
              <w14:schemeClr w14:val="tx1"/>
            </w14:solidFill>
          </w14:textFill>
        </w:rPr>
        <w:t>8月</w:t>
      </w:r>
      <w:r>
        <w:rPr>
          <w:rFonts w:ascii="Times New Roman" w:hAnsi="Times New Roman" w:eastAsia="仿宋" w:cs="Times New Roman"/>
          <w:color w:val="000000" w:themeColor="text1"/>
          <w:sz w:val="28"/>
          <w:szCs w:val="28"/>
          <w14:textFill>
            <w14:solidFill>
              <w14:schemeClr w14:val="tx1"/>
            </w14:solidFill>
          </w14:textFill>
        </w:rPr>
        <w:t>15日</w:t>
      </w:r>
      <w:r>
        <w:rPr>
          <w:rFonts w:hint="eastAsia" w:ascii="Times New Roman" w:hAnsi="Times New Roman" w:eastAsia="仿宋" w:cs="Times New Roman"/>
          <w:color w:val="000000" w:themeColor="text1"/>
          <w:sz w:val="28"/>
          <w:szCs w:val="28"/>
          <w14:textFill>
            <w14:solidFill>
              <w14:schemeClr w14:val="tx1"/>
            </w14:solidFill>
          </w14:textFill>
        </w:rPr>
        <w:t>至2027年8月14日</w:t>
      </w:r>
      <w:r>
        <w:rPr>
          <w:rFonts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本次服务协议期限：</w:t>
      </w:r>
      <w:r>
        <w:rPr>
          <w:rFonts w:hint="eastAsia" w:ascii="Times New Roman" w:hAnsi="Times New Roman" w:eastAsia="仿宋_GB2312" w:cs="Times New Roman"/>
          <w:sz w:val="28"/>
          <w:szCs w:val="28"/>
        </w:rPr>
        <w:t>2024年8月15日至2025年8月14日</w:t>
      </w:r>
      <w:r>
        <w:rPr>
          <w:rFonts w:ascii="Times New Roman" w:hAnsi="Times New Roman" w:eastAsia="仿宋_GB2312" w:cs="Times New Roman"/>
          <w:sz w:val="28"/>
          <w:szCs w:val="28"/>
        </w:rPr>
        <w:t>。</w:t>
      </w:r>
    </w:p>
    <w:p>
      <w:pPr>
        <w:spacing w:line="620" w:lineRule="exact"/>
        <w:ind w:firstLine="544"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政府购买服务经费：本服务协议期限</w:t>
      </w:r>
      <w:r>
        <w:rPr>
          <w:rFonts w:hint="eastAsia" w:ascii="Times New Roman" w:hAnsi="Times New Roman" w:eastAsia="仿宋_GB2312" w:cs="Times New Roman"/>
          <w:spacing w:val="-4"/>
          <w:sz w:val="28"/>
          <w:szCs w:val="28"/>
        </w:rPr>
        <w:t>2024年8月15日至2025年8月14日</w:t>
      </w:r>
      <w:r>
        <w:rPr>
          <w:rFonts w:ascii="Times New Roman" w:hAnsi="Times New Roman" w:eastAsia="仿宋_GB2312" w:cs="Times New Roman"/>
          <w:spacing w:val="-4"/>
          <w:sz w:val="28"/>
          <w:szCs w:val="28"/>
        </w:rPr>
        <w:t>的服务经费总计2,</w:t>
      </w:r>
      <w:r>
        <w:rPr>
          <w:rFonts w:hint="eastAsia" w:ascii="Times New Roman" w:hAnsi="Times New Roman" w:eastAsia="仿宋_GB2312" w:cs="Times New Roman"/>
          <w:spacing w:val="-4"/>
          <w:sz w:val="28"/>
          <w:szCs w:val="28"/>
        </w:rPr>
        <w:t>40</w:t>
      </w:r>
      <w:r>
        <w:rPr>
          <w:rFonts w:ascii="Times New Roman" w:hAnsi="Times New Roman" w:eastAsia="仿宋_GB2312" w:cs="Times New Roman"/>
          <w:spacing w:val="-4"/>
          <w:sz w:val="28"/>
          <w:szCs w:val="28"/>
        </w:rPr>
        <w:t>0,000.00元，分为三期拨付。其中：协议签订生效之日起30个工作日内拨付55%即1,</w:t>
      </w:r>
      <w:r>
        <w:rPr>
          <w:rFonts w:hint="eastAsia" w:ascii="Times New Roman" w:hAnsi="Times New Roman" w:eastAsia="仿宋_GB2312" w:cs="Times New Roman"/>
          <w:spacing w:val="-4"/>
          <w:sz w:val="28"/>
          <w:szCs w:val="28"/>
        </w:rPr>
        <w:t>320</w:t>
      </w:r>
      <w:r>
        <w:rPr>
          <w:rFonts w:ascii="Times New Roman" w:hAnsi="Times New Roman" w:eastAsia="仿宋_GB2312" w:cs="Times New Roman"/>
          <w:spacing w:val="-4"/>
          <w:sz w:val="28"/>
          <w:szCs w:val="28"/>
        </w:rPr>
        <w:t>,</w:t>
      </w:r>
      <w:r>
        <w:rPr>
          <w:rFonts w:hint="eastAsia" w:ascii="Times New Roman" w:hAnsi="Times New Roman" w:eastAsia="仿宋_GB2312" w:cs="Times New Roman"/>
          <w:spacing w:val="-4"/>
          <w:sz w:val="28"/>
          <w:szCs w:val="28"/>
        </w:rPr>
        <w:t>0</w:t>
      </w:r>
      <w:r>
        <w:rPr>
          <w:rFonts w:ascii="Times New Roman" w:hAnsi="Times New Roman" w:eastAsia="仿宋_GB2312" w:cs="Times New Roman"/>
          <w:spacing w:val="-4"/>
          <w:sz w:val="28"/>
          <w:szCs w:val="28"/>
        </w:rPr>
        <w:t>00.00元，项目年度中期评估为合格以上的拨付40%即9</w:t>
      </w:r>
      <w:r>
        <w:rPr>
          <w:rFonts w:hint="eastAsia" w:ascii="Times New Roman" w:hAnsi="Times New Roman" w:eastAsia="仿宋_GB2312" w:cs="Times New Roman"/>
          <w:spacing w:val="-4"/>
          <w:sz w:val="28"/>
          <w:szCs w:val="28"/>
        </w:rPr>
        <w:t>60</w:t>
      </w:r>
      <w:r>
        <w:rPr>
          <w:rFonts w:ascii="Times New Roman" w:hAnsi="Times New Roman" w:eastAsia="仿宋_GB2312" w:cs="Times New Roman"/>
          <w:spacing w:val="-4"/>
          <w:sz w:val="28"/>
          <w:szCs w:val="28"/>
        </w:rPr>
        <w:t>,000.00元，年度末期评估为合格以上的拨付5%即1</w:t>
      </w:r>
      <w:r>
        <w:rPr>
          <w:rFonts w:hint="eastAsia" w:ascii="Times New Roman" w:hAnsi="Times New Roman" w:eastAsia="仿宋_GB2312" w:cs="Times New Roman"/>
          <w:spacing w:val="-4"/>
          <w:sz w:val="28"/>
          <w:szCs w:val="28"/>
        </w:rPr>
        <w:t>20</w:t>
      </w:r>
      <w:r>
        <w:rPr>
          <w:rFonts w:ascii="Times New Roman" w:hAnsi="Times New Roman" w:eastAsia="仿宋_GB2312" w:cs="Times New Roman"/>
          <w:spacing w:val="-4"/>
          <w:sz w:val="28"/>
          <w:szCs w:val="28"/>
        </w:rPr>
        <w:t>,</w:t>
      </w:r>
      <w:r>
        <w:rPr>
          <w:rFonts w:hint="eastAsia" w:ascii="Times New Roman" w:hAnsi="Times New Roman" w:eastAsia="仿宋_GB2312" w:cs="Times New Roman"/>
          <w:spacing w:val="-4"/>
          <w:sz w:val="28"/>
          <w:szCs w:val="28"/>
        </w:rPr>
        <w:t>0</w:t>
      </w:r>
      <w:r>
        <w:rPr>
          <w:rFonts w:ascii="Times New Roman" w:hAnsi="Times New Roman" w:eastAsia="仿宋_GB2312" w:cs="Times New Roman"/>
          <w:spacing w:val="-4"/>
          <w:sz w:val="28"/>
          <w:szCs w:val="28"/>
        </w:rPr>
        <w:t>00.00元。</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二、小谷围社工站财务管理制度执行情况</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㈠非营利组织会计制度的执行情况</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小谷围社工站有执行《民间非营利组织会计制度》，能按照《民间非营利组织会计制度》进行会计核算，原始凭证的审核、记账凭证的编制和财务报告的编制等符合制度规定，能根据有关规定和要求填报经费收支情况表的数据。</w:t>
      </w:r>
    </w:p>
    <w:p>
      <w:pPr>
        <w:spacing w:line="620" w:lineRule="exact"/>
        <w:ind w:right="-6" w:rightChars="-3" w:firstLine="560" w:firstLineChars="200"/>
        <w:rPr>
          <w:rFonts w:ascii="Times New Roman" w:hAnsi="Times New Roman" w:eastAsia="仿宋" w:cs="Times New Roman"/>
          <w:sz w:val="28"/>
          <w:szCs w:val="28"/>
        </w:rPr>
      </w:pPr>
      <w:r>
        <w:rPr>
          <w:rFonts w:ascii="Times New Roman" w:hAnsi="Times New Roman" w:eastAsia="仿宋_GB2312" w:cs="Times New Roman"/>
          <w:sz w:val="28"/>
          <w:szCs w:val="28"/>
        </w:rPr>
        <w:t>㈡</w:t>
      </w:r>
      <w:r>
        <w:rPr>
          <w:rFonts w:ascii="Times New Roman" w:hAnsi="Times New Roman" w:eastAsia="仿宋" w:cs="Times New Roman"/>
          <w:sz w:val="28"/>
          <w:szCs w:val="28"/>
        </w:rPr>
        <w:t>财务监管、风控制度的执行情况</w:t>
      </w:r>
    </w:p>
    <w:p>
      <w:pPr>
        <w:spacing w:line="62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１、</w:t>
      </w:r>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根据自身业务特点建立了</w:t>
      </w:r>
      <w:r>
        <w:rPr>
          <w:rFonts w:hint="eastAsia" w:ascii="Times New Roman" w:hAnsi="Times New Roman" w:eastAsia="仿宋" w:cs="Times New Roman"/>
          <w:sz w:val="28"/>
          <w:szCs w:val="28"/>
        </w:rPr>
        <w:t>财务制度，对财务管理、财务预决算、费用报销、资产管理以及财务问责等方面进行了规范。</w:t>
      </w:r>
      <w:r>
        <w:rPr>
          <w:rFonts w:ascii="Times New Roman" w:hAnsi="Times New Roman" w:eastAsia="仿宋" w:cs="Times New Roman"/>
          <w:sz w:val="28"/>
          <w:szCs w:val="28"/>
        </w:rPr>
        <w:t>小谷围社工站在实际工作中能按上述制度要求编制“</w:t>
      </w:r>
      <w:r>
        <w:rPr>
          <w:rFonts w:hint="eastAsia" w:ascii="Times New Roman" w:hAnsi="Times New Roman" w:eastAsia="仿宋" w:cs="Times New Roman"/>
          <w:sz w:val="28"/>
          <w:szCs w:val="28"/>
        </w:rPr>
        <w:t>项目</w:t>
      </w:r>
      <w:r>
        <w:rPr>
          <w:rFonts w:ascii="Times New Roman" w:hAnsi="Times New Roman" w:eastAsia="仿宋" w:cs="Times New Roman"/>
          <w:sz w:val="28"/>
          <w:szCs w:val="28"/>
        </w:rPr>
        <w:t>经费预算表”；在经费报销和预支申请等方面均能执行承接机构制度规定的程序、权限。</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 w:cs="Times New Roman"/>
          <w:sz w:val="28"/>
          <w:szCs w:val="28"/>
        </w:rPr>
        <w:t>２、小谷围社工站严格执行</w:t>
      </w:r>
      <w:r>
        <w:rPr>
          <w:rFonts w:hint="eastAsia" w:ascii="Times New Roman" w:hAnsi="Times New Roman" w:eastAsia="仿宋" w:cs="Times New Roman"/>
          <w:sz w:val="28"/>
          <w:szCs w:val="28"/>
        </w:rPr>
        <w:t>固定资产管理相关的</w:t>
      </w:r>
      <w:r>
        <w:rPr>
          <w:rFonts w:ascii="Times New Roman" w:hAnsi="Times New Roman" w:eastAsia="仿宋" w:cs="Times New Roman"/>
          <w:sz w:val="28"/>
          <w:szCs w:val="28"/>
        </w:rPr>
        <w:t>制度，并定期对固定资产进行盘点。</w:t>
      </w:r>
    </w:p>
    <w:p>
      <w:pPr>
        <w:spacing w:line="590" w:lineRule="exact"/>
        <w:ind w:firstLine="544"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３、</w:t>
      </w:r>
      <w:r>
        <w:rPr>
          <w:rFonts w:hint="eastAsia" w:ascii="Times New Roman" w:hAnsi="Times New Roman" w:eastAsia="仿宋_GB2312" w:cs="Times New Roman"/>
          <w:spacing w:val="-4"/>
          <w:sz w:val="28"/>
          <w:szCs w:val="28"/>
        </w:rPr>
        <w:t>承接机构广州市番禺区正阳社会工作服务中心已按要求编制服务期内小谷围社工站的财务自评报告；承接机构 2024年度财务报表已经广东中职信会计师事务所（特殊普通合伙）东莞分所审计，并取得中职信莞审字</w:t>
      </w:r>
      <w:bookmarkStart w:id="2" w:name="OLE_LINK2"/>
      <w:r>
        <w:rPr>
          <w:rFonts w:hint="eastAsia" w:ascii="Times New Roman" w:hAnsi="Times New Roman" w:eastAsia="仿宋_GB2312" w:cs="Times New Roman"/>
          <w:spacing w:val="-4"/>
          <w:sz w:val="28"/>
          <w:szCs w:val="28"/>
        </w:rPr>
        <w:t>（2025）</w:t>
      </w:r>
      <w:bookmarkEnd w:id="2"/>
      <w:r>
        <w:rPr>
          <w:rFonts w:hint="eastAsia" w:ascii="Times New Roman" w:hAnsi="Times New Roman" w:eastAsia="仿宋_GB2312" w:cs="Times New Roman"/>
          <w:spacing w:val="-4"/>
          <w:sz w:val="28"/>
          <w:szCs w:val="28"/>
        </w:rPr>
        <w:t>第0030号无保留意见审计报告；2024年度企业所得税纳税情况已经中职信（东莞）税务师事务所（普通合伙）复核，并取得中职信莞税字（2025）第 0001号汇算清缴纳税调整报告。</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三、小谷围社工站人员配备情况</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严格贯彻不相容职务分离原则，为</w:t>
      </w:r>
      <w:r>
        <w:rPr>
          <w:rFonts w:ascii="Times New Roman" w:hAnsi="Times New Roman" w:eastAsia="仿宋_GB2312" w:cs="Times New Roman"/>
          <w:sz w:val="28"/>
          <w:szCs w:val="28"/>
        </w:rPr>
        <w:t>小谷围社工站配置财务人员2名，</w:t>
      </w:r>
      <w:r>
        <w:rPr>
          <w:rFonts w:ascii="Times New Roman" w:hAnsi="Times New Roman" w:eastAsia="仿宋" w:cs="Times New Roman"/>
          <w:sz w:val="28"/>
          <w:szCs w:val="28"/>
        </w:rPr>
        <w:t>分别担任会计、出纳岗位，负责包括</w:t>
      </w:r>
      <w:r>
        <w:rPr>
          <w:rFonts w:ascii="Times New Roman" w:hAnsi="Times New Roman" w:eastAsia="仿宋_GB2312" w:cs="Times New Roman"/>
          <w:sz w:val="28"/>
          <w:szCs w:val="28"/>
        </w:rPr>
        <w:t>小谷围社工站在内的中心财务工作</w:t>
      </w:r>
      <w:r>
        <w:rPr>
          <w:rFonts w:ascii="Times New Roman" w:hAnsi="Times New Roman" w:eastAsia="仿宋" w:cs="Times New Roman"/>
          <w:sz w:val="28"/>
          <w:szCs w:val="28"/>
        </w:rPr>
        <w:t>，其中主管会计吴燕已取得会计中级专业技术资格证</w:t>
      </w:r>
      <w:r>
        <w:rPr>
          <w:rFonts w:ascii="Times New Roman" w:hAnsi="Times New Roman" w:eastAsia="仿宋_GB2312" w:cs="Times New Roman"/>
          <w:sz w:val="28"/>
          <w:szCs w:val="28"/>
        </w:rPr>
        <w:t>。</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经查阅，主管会计吴燕及出纳李淑娟均已完成202</w:t>
      </w:r>
      <w:r>
        <w:rPr>
          <w:rFonts w:hint="eastAsia" w:ascii="Times New Roman" w:hAnsi="Times New Roman" w:eastAsia="仿宋" w:cs="Times New Roman"/>
          <w:sz w:val="28"/>
          <w:szCs w:val="28"/>
        </w:rPr>
        <w:t>4</w:t>
      </w:r>
      <w:r>
        <w:rPr>
          <w:rFonts w:ascii="Times New Roman" w:hAnsi="Times New Roman" w:eastAsia="仿宋" w:cs="Times New Roman"/>
          <w:sz w:val="28"/>
          <w:szCs w:val="28"/>
        </w:rPr>
        <w:t>年度会计专业技术人员继续教育学习任务，且相应工资、五险一金等薪金支出在机构作为运营管理费用项目核算，未计入社工人员经费支出，</w:t>
      </w:r>
      <w:bookmarkStart w:id="3" w:name="_Hlk110958106"/>
      <w:r>
        <w:rPr>
          <w:rFonts w:ascii="Times New Roman" w:hAnsi="Times New Roman" w:eastAsia="仿宋" w:cs="Times New Roman"/>
          <w:sz w:val="28"/>
          <w:szCs w:val="28"/>
        </w:rPr>
        <w:t>符合要求</w:t>
      </w:r>
      <w:bookmarkEnd w:id="3"/>
      <w:r>
        <w:rPr>
          <w:rFonts w:ascii="Times New Roman" w:hAnsi="Times New Roman" w:eastAsia="仿宋" w:cs="Times New Roman"/>
          <w:sz w:val="28"/>
          <w:szCs w:val="28"/>
        </w:rPr>
        <w:t>。</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四、小谷围社工站服务经费支出情况</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承接机构广州市番禺区正阳社会工作服务中心根据</w:t>
      </w:r>
      <w:r>
        <w:rPr>
          <w:rFonts w:hint="eastAsia" w:ascii="Times New Roman" w:hAnsi="Times New Roman" w:eastAsia="仿宋_GB2312" w:cs="Times New Roman"/>
          <w:sz w:val="28"/>
          <w:szCs w:val="28"/>
        </w:rPr>
        <w:t>《广州市人民政府办公厅关于印发广州市社工服务站管理办法的通知》（穗府办〔2023〕7号）、《广州市民政局关于印发〈广州市社工服务站管理办法〉有关配套文件的通知》（穗民〔2023〕97号）</w:t>
      </w:r>
      <w:r>
        <w:rPr>
          <w:rFonts w:ascii="Times New Roman" w:hAnsi="Times New Roman" w:eastAsia="仿宋_GB2312" w:cs="Times New Roman"/>
          <w:sz w:val="28"/>
          <w:szCs w:val="28"/>
        </w:rPr>
        <w:t>等相关规定，结合实际情况建立了财务</w:t>
      </w:r>
      <w:r>
        <w:rPr>
          <w:rFonts w:hint="eastAsia" w:ascii="Times New Roman" w:hAnsi="Times New Roman" w:eastAsia="仿宋_GB2312" w:cs="Times New Roman"/>
          <w:sz w:val="28"/>
          <w:szCs w:val="28"/>
        </w:rPr>
        <w:t>管理</w:t>
      </w:r>
      <w:r>
        <w:rPr>
          <w:rFonts w:ascii="Times New Roman" w:hAnsi="Times New Roman" w:eastAsia="仿宋_GB2312" w:cs="Times New Roman"/>
          <w:sz w:val="28"/>
          <w:szCs w:val="28"/>
        </w:rPr>
        <w:t>制度，明确了财务经费支出的审核程序及支出权限。制度规定</w:t>
      </w:r>
      <w:r>
        <w:rPr>
          <w:rFonts w:hint="eastAsia" w:ascii="Times New Roman" w:hAnsi="Times New Roman" w:eastAsia="仿宋_GB2312" w:cs="Times New Roman"/>
          <w:sz w:val="28"/>
          <w:szCs w:val="28"/>
        </w:rPr>
        <w:t>具体费用审批权限如下</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项目（专项）主任：费用≤</w:t>
      </w:r>
      <w:r>
        <w:rPr>
          <w:rFonts w:ascii="Times New Roman" w:hAnsi="Times New Roman" w:eastAsia="仿宋_GB2312" w:cs="Times New Roman"/>
          <w:sz w:val="28"/>
          <w:szCs w:val="28"/>
        </w:rPr>
        <w:t>500</w:t>
      </w:r>
      <w:r>
        <w:rPr>
          <w:rFonts w:hint="eastAsia" w:ascii="Times New Roman" w:hAnsi="Times New Roman" w:eastAsia="仿宋_GB2312" w:cs="Times New Roman"/>
          <w:sz w:val="28"/>
          <w:szCs w:val="28"/>
        </w:rPr>
        <w:t>元；总监：费用≤</w:t>
      </w:r>
      <w:r>
        <w:rPr>
          <w:rFonts w:ascii="Times New Roman" w:hAnsi="Times New Roman" w:eastAsia="仿宋_GB2312" w:cs="Times New Roman"/>
          <w:sz w:val="28"/>
          <w:szCs w:val="28"/>
        </w:rPr>
        <w:t>1000</w:t>
      </w:r>
      <w:r>
        <w:rPr>
          <w:rFonts w:hint="eastAsia" w:ascii="Times New Roman" w:hAnsi="Times New Roman" w:eastAsia="仿宋_GB2312" w:cs="Times New Roman"/>
          <w:sz w:val="28"/>
          <w:szCs w:val="28"/>
        </w:rPr>
        <w:t>元；（常务）副总干事：费用≤</w:t>
      </w:r>
      <w:r>
        <w:rPr>
          <w:rFonts w:ascii="Times New Roman" w:hAnsi="Times New Roman" w:eastAsia="仿宋_GB2312" w:cs="Times New Roman"/>
          <w:sz w:val="28"/>
          <w:szCs w:val="28"/>
        </w:rPr>
        <w:t>2000</w:t>
      </w:r>
      <w:r>
        <w:rPr>
          <w:rFonts w:hint="eastAsia" w:ascii="Times New Roman" w:hAnsi="Times New Roman" w:eastAsia="仿宋_GB2312" w:cs="Times New Roman"/>
          <w:sz w:val="28"/>
          <w:szCs w:val="28"/>
        </w:rPr>
        <w:t>元；总干事：费用≤</w:t>
      </w:r>
      <w:r>
        <w:rPr>
          <w:rFonts w:ascii="Times New Roman" w:hAnsi="Times New Roman" w:eastAsia="仿宋_GB2312" w:cs="Times New Roman"/>
          <w:sz w:val="28"/>
          <w:szCs w:val="28"/>
        </w:rPr>
        <w:t>5000</w:t>
      </w:r>
      <w:r>
        <w:rPr>
          <w:rFonts w:hint="eastAsia" w:ascii="Times New Roman" w:hAnsi="Times New Roman" w:eastAsia="仿宋_GB2312" w:cs="Times New Roman"/>
          <w:sz w:val="28"/>
          <w:szCs w:val="28"/>
        </w:rPr>
        <w:t>元；理事长：费用</w:t>
      </w:r>
      <w:r>
        <w:rPr>
          <w:rFonts w:ascii="Times New Roman" w:hAnsi="Times New Roman" w:eastAsia="仿宋_GB2312" w:cs="Times New Roman"/>
          <w:sz w:val="28"/>
          <w:szCs w:val="28"/>
        </w:rPr>
        <w:t>&gt;5000</w:t>
      </w:r>
      <w:r>
        <w:rPr>
          <w:rFonts w:hint="eastAsia" w:ascii="Times New Roman" w:hAnsi="Times New Roman" w:eastAsia="仿宋_GB2312" w:cs="Times New Roman"/>
          <w:sz w:val="28"/>
          <w:szCs w:val="28"/>
        </w:rPr>
        <w:t>元且不高于</w:t>
      </w:r>
      <w:r>
        <w:rPr>
          <w:rFonts w:ascii="Times New Roman" w:hAnsi="Times New Roman" w:eastAsia="仿宋_GB2312" w:cs="Times New Roman"/>
          <w:sz w:val="28"/>
          <w:szCs w:val="28"/>
        </w:rPr>
        <w:t>10</w:t>
      </w:r>
      <w:r>
        <w:rPr>
          <w:rFonts w:hint="eastAsia" w:ascii="Times New Roman" w:hAnsi="Times New Roman" w:eastAsia="仿宋_GB2312" w:cs="Times New Roman"/>
          <w:sz w:val="28"/>
          <w:szCs w:val="28"/>
        </w:rPr>
        <w:t>万元；单笔费用超</w:t>
      </w:r>
      <w:r>
        <w:rPr>
          <w:rFonts w:ascii="Times New Roman" w:hAnsi="Times New Roman" w:eastAsia="仿宋_GB2312" w:cs="Times New Roman"/>
          <w:sz w:val="28"/>
          <w:szCs w:val="28"/>
        </w:rPr>
        <w:t>10</w:t>
      </w:r>
      <w:r>
        <w:rPr>
          <w:rFonts w:hint="eastAsia" w:ascii="Times New Roman" w:hAnsi="Times New Roman" w:eastAsia="仿宋_GB2312" w:cs="Times New Roman"/>
          <w:sz w:val="28"/>
          <w:szCs w:val="28"/>
        </w:rPr>
        <w:t>万元的支出需报请理事会决议通过后执行（银行一般账户往来除外）</w:t>
      </w:r>
      <w:r>
        <w:rPr>
          <w:rFonts w:ascii="Times New Roman" w:hAnsi="Times New Roman" w:eastAsia="仿宋_GB2312" w:cs="Times New Roman"/>
          <w:sz w:val="28"/>
          <w:szCs w:val="28"/>
        </w:rPr>
        <w:t>。本评估期内小谷围社工站经费支出具体情况如下：</w:t>
      </w:r>
    </w:p>
    <w:p>
      <w:pPr>
        <w:spacing w:line="590" w:lineRule="exact"/>
        <w:ind w:left="560" w:right="-6" w:rightChars="-3"/>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w:t>
      </w:r>
      <w:r>
        <w:rPr>
          <w:rFonts w:ascii="Times New Roman" w:hAnsi="Times New Roman" w:eastAsia="仿宋_GB2312" w:cs="Times New Roman"/>
          <w:sz w:val="28"/>
          <w:szCs w:val="28"/>
        </w:rPr>
        <w:t>财务支出的合规性</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小谷围社工站经费使用的范围、比例基本能按《广州市社工服务站管理办法》有关规定执行。小谷围社工站每年有制定“</w:t>
      </w:r>
      <w:r>
        <w:rPr>
          <w:rFonts w:hint="eastAsia" w:ascii="Times New Roman" w:hAnsi="Times New Roman" w:eastAsia="仿宋_GB2312" w:cs="Times New Roman"/>
          <w:sz w:val="28"/>
          <w:szCs w:val="28"/>
        </w:rPr>
        <w:t>项目</w:t>
      </w:r>
      <w:r>
        <w:rPr>
          <w:rFonts w:ascii="Times New Roman" w:hAnsi="Times New Roman" w:eastAsia="仿宋_GB2312" w:cs="Times New Roman"/>
          <w:sz w:val="28"/>
          <w:szCs w:val="28"/>
        </w:rPr>
        <w:t>经费预算表”，明确规划了协议期内的收入和支出预算计划，经费支出预算表基本能符合《民间非营利组织会计制度》和广州市番禺区人民政府小谷围街道办事处与社工服务站承接机构签订的购买服务协议中人员费用、服务质量保障费用和运营管理费用规定的使用范围，活动经费预算表有机构理事会负责人签名确认。</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㈡财务支出的合理性</w:t>
      </w:r>
    </w:p>
    <w:p>
      <w:pPr>
        <w:tabs>
          <w:tab w:val="right" w:pos="9354"/>
        </w:tabs>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经审核，小谷围社工站财务支出的事由、票据、标准基本合理。小谷围社工站有经费预算程序，财务支出根据经费预算计划执行、基本能按预算标准支出，并有财务支出票据。</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㈢财务支出的审批情况</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经审核，小谷围社工站能按承接机构广州市番禺区正阳社会工作服务中心财务制度规定的审批权限进行审批。经费支出均有经办人、证明人、审核人签名。</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㈣财务支出的监控情况</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经审核，承接机构广州市番禺区正阳社会工作服务中心已建立财务支出管理的监控机制，并在小谷围社工站得到较规范执行。</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１、承接机构广州市番禺区正阳社会工作服务中心能按规定开设银行基本账户，按规定对该小谷围社工站开设银行一般账户（专户），日常财务支出采用专户支付和基本户代付后专户转回结合的方式。</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２、为确保政府购买服务经费用于指定用途，承接机构广州市番禺区正阳社会工作服务中心有定期向购买方提交小谷围社工站服务经费使用情况报告，对经费预算及使用情况作比对分析。</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㈤财务支出票据的完整性、规范性</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小谷围社工站财务支出票据、凭证填制较完整，账目设置、票据管理较规范。</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五、小谷围社工站会计核算情况</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㈠是否设置会计科目，编制完整会计报表</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正阳社会工作服务中心对小谷围社工站会计科目设置合理，所有服务业务均编制了记账凭证、登记了明细分类账簿和总账，核算做到账册、账账、账表相符，编制了会计报表，并符合相关会计制度独立核算。</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㈡是否分项目核算</w:t>
      </w:r>
    </w:p>
    <w:p>
      <w:pPr>
        <w:spacing w:line="590" w:lineRule="exact"/>
        <w:ind w:firstLine="544"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经审核，承接机构广州市番禺区正阳社会工作服务中心对承接的小谷围社工站政府购买服务资金的服务经费支出，能按要求做到分项目核算。</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㈢是否领域服务经费分开归集</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经审核，承接机构广州市番禺区正阳社会工作服务中心对承接的小谷围社工站政府购买服务资金的服务经费支出，能按要求做到领域服务经费分开归集。</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六、本评估期服务经费拨入、支出、结余情况</w:t>
      </w:r>
    </w:p>
    <w:p>
      <w:pPr>
        <w:spacing w:line="590" w:lineRule="exact"/>
        <w:ind w:right="-2" w:firstLine="560" w:firstLineChars="200"/>
        <w:outlineLvl w:val="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15</w:t>
      </w:r>
      <w:r>
        <w:rPr>
          <w:rFonts w:ascii="Times New Roman" w:hAnsi="Times New Roman" w:eastAsia="仿宋_GB2312" w:cs="Times New Roman"/>
          <w:sz w:val="28"/>
          <w:szCs w:val="28"/>
        </w:rPr>
        <w:t>日至</w:t>
      </w:r>
      <w:r>
        <w:rPr>
          <w:rFonts w:hint="eastAsia" w:ascii="Times New Roman" w:hAnsi="Times New Roman" w:eastAsia="仿宋_GB2312" w:cs="Times New Roman"/>
          <w:sz w:val="28"/>
          <w:szCs w:val="28"/>
        </w:rPr>
        <w:t>2025年2月14日</w:t>
      </w:r>
      <w:r>
        <w:rPr>
          <w:rFonts w:ascii="Times New Roman" w:hAnsi="Times New Roman" w:eastAsia="仿宋_GB2312" w:cs="Times New Roman"/>
          <w:sz w:val="28"/>
          <w:szCs w:val="28"/>
        </w:rPr>
        <w:t>期间（以下简称本评估期），小谷围社工站收到本协议期政府购买服务经费</w:t>
      </w:r>
      <w:r>
        <w:rPr>
          <w:rFonts w:hint="eastAsia" w:ascii="Times New Roman" w:hAnsi="Times New Roman" w:eastAsia="仿宋_GB2312" w:cs="Times New Roman"/>
          <w:sz w:val="28"/>
          <w:szCs w:val="28"/>
        </w:rPr>
        <w:t>924,000.00元</w:t>
      </w:r>
      <w:r>
        <w:rPr>
          <w:rFonts w:ascii="Times New Roman" w:hAnsi="Times New Roman" w:eastAsia="仿宋_GB2312" w:cs="Times New Roman"/>
          <w:sz w:val="28"/>
          <w:szCs w:val="28"/>
        </w:rPr>
        <w:t>，归属于本评估期的服务经费支出累计</w:t>
      </w:r>
      <w:r>
        <w:rPr>
          <w:rFonts w:hint="eastAsia" w:ascii="Times New Roman" w:hAnsi="Times New Roman" w:eastAsia="仿宋_GB2312" w:cs="Times New Roman"/>
          <w:sz w:val="28"/>
          <w:szCs w:val="28"/>
        </w:rPr>
        <w:t>1,024,300.05</w:t>
      </w:r>
      <w:r>
        <w:rPr>
          <w:rFonts w:ascii="Times New Roman" w:hAnsi="Times New Roman" w:eastAsia="仿宋_GB2312" w:cs="Times New Roman"/>
          <w:sz w:val="28"/>
          <w:szCs w:val="28"/>
        </w:rPr>
        <w:t>元，其中202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至</w:t>
      </w:r>
      <w:r>
        <w:rPr>
          <w:rFonts w:ascii="Times New Roman" w:hAnsi="Times New Roman" w:eastAsia="仿宋_GB2312" w:cs="Times New Roman"/>
          <w:sz w:val="28"/>
          <w:szCs w:val="28"/>
        </w:rPr>
        <w:t>2024年</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月支付990,927.13元，2024年</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月支付33,372.92元；本评估期结余金额</w:t>
      </w:r>
      <w:r>
        <w:rPr>
          <w:rFonts w:hint="eastAsia" w:ascii="Times New Roman" w:hAnsi="Times New Roman" w:eastAsia="仿宋_GB2312" w:cs="Times New Roman"/>
          <w:sz w:val="28"/>
          <w:szCs w:val="28"/>
        </w:rPr>
        <w:t xml:space="preserve">-100,300.05 </w:t>
      </w:r>
      <w:r>
        <w:rPr>
          <w:rFonts w:ascii="Times New Roman" w:hAnsi="Times New Roman" w:eastAsia="仿宋_GB2312" w:cs="Times New Roman"/>
          <w:sz w:val="28"/>
          <w:szCs w:val="28"/>
        </w:rPr>
        <w:t>元</w:t>
      </w:r>
      <w:r>
        <w:rPr>
          <w:rFonts w:hint="eastAsia" w:ascii="Times New Roman" w:hAnsi="Times New Roman" w:eastAsia="仿宋_GB2312" w:cs="Times New Roman"/>
          <w:sz w:val="28"/>
          <w:szCs w:val="28"/>
        </w:rPr>
        <w:t>，</w:t>
      </w:r>
      <w:r>
        <w:rPr>
          <w:rFonts w:ascii="Times New Roman" w:hAnsi="Times New Roman" w:eastAsia="仿宋" w:cs="Times New Roman"/>
          <w:color w:val="000000" w:themeColor="text1"/>
          <w:sz w:val="28"/>
          <w:szCs w:val="28"/>
          <w14:textFill>
            <w14:solidFill>
              <w14:schemeClr w14:val="tx1"/>
            </w14:solidFill>
          </w14:textFill>
        </w:rPr>
        <w:t>占实际拨入经费的</w:t>
      </w:r>
      <w:r>
        <w:rPr>
          <w:rFonts w:hint="eastAsia" w:ascii="Times New Roman" w:hAnsi="Times New Roman" w:eastAsia="仿宋" w:cs="Times New Roman"/>
          <w:color w:val="000000" w:themeColor="text1"/>
          <w:sz w:val="28"/>
          <w:szCs w:val="28"/>
          <w14:textFill>
            <w14:solidFill>
              <w14:schemeClr w14:val="tx1"/>
            </w14:solidFill>
          </w14:textFill>
        </w:rPr>
        <w:t>-10.85%</w:t>
      </w:r>
      <w:r>
        <w:rPr>
          <w:rFonts w:ascii="Times New Roman" w:hAnsi="Times New Roman" w:eastAsia="仿宋_GB2312" w:cs="Times New Roman"/>
          <w:sz w:val="28"/>
          <w:szCs w:val="28"/>
        </w:rPr>
        <w:t>。</w:t>
      </w:r>
    </w:p>
    <w:p>
      <w:pPr>
        <w:spacing w:line="5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经评估，本评估期用于小谷围社工站的人员费用支出占本协议期应收服务总经费的</w:t>
      </w:r>
      <w:r>
        <w:rPr>
          <w:rFonts w:hint="eastAsia" w:ascii="Times New Roman" w:hAnsi="Times New Roman" w:eastAsia="仿宋" w:cs="Times New Roman"/>
          <w:sz w:val="28"/>
          <w:szCs w:val="28"/>
        </w:rPr>
        <w:t>35.19%</w:t>
      </w:r>
      <w:r>
        <w:rPr>
          <w:rFonts w:ascii="Times New Roman" w:hAnsi="Times New Roman" w:eastAsia="仿宋" w:cs="Times New Roman"/>
          <w:sz w:val="28"/>
          <w:szCs w:val="28"/>
        </w:rPr>
        <w:t>，</w:t>
      </w:r>
      <w:r>
        <w:rPr>
          <w:rFonts w:hint="eastAsia" w:ascii="Times New Roman" w:hAnsi="Times New Roman" w:eastAsia="仿宋_GB2312" w:cs="Times New Roman"/>
          <w:spacing w:val="-4"/>
          <w:sz w:val="28"/>
          <w:szCs w:val="28"/>
        </w:rPr>
        <w:t>占本评估期实收服务总经费的91.39%，</w:t>
      </w:r>
      <w:r>
        <w:rPr>
          <w:rFonts w:ascii="Times New Roman" w:hAnsi="Times New Roman" w:eastAsia="仿宋" w:cs="Times New Roman"/>
          <w:sz w:val="28"/>
          <w:szCs w:val="28"/>
        </w:rPr>
        <w:t>本期预算执行率（整体协议期）</w:t>
      </w:r>
      <w:r>
        <w:rPr>
          <w:rFonts w:hint="eastAsia" w:ascii="Times New Roman" w:hAnsi="Times New Roman" w:eastAsia="仿宋" w:cs="Times New Roman"/>
          <w:sz w:val="28"/>
          <w:szCs w:val="28"/>
        </w:rPr>
        <w:t>43.98%</w:t>
      </w:r>
      <w:r>
        <w:rPr>
          <w:rFonts w:ascii="Times New Roman" w:hAnsi="Times New Roman" w:eastAsia="仿宋" w:cs="Times New Roman"/>
          <w:sz w:val="28"/>
          <w:szCs w:val="28"/>
        </w:rPr>
        <w:t>；服务质量保障费用及承接机构运营管理费用占本协议期应收服务总经费的</w:t>
      </w:r>
      <w:r>
        <w:rPr>
          <w:rFonts w:hint="eastAsia" w:ascii="Times New Roman" w:hAnsi="Times New Roman" w:eastAsia="仿宋" w:cs="Times New Roman"/>
          <w:sz w:val="28"/>
          <w:szCs w:val="28"/>
        </w:rPr>
        <w:t>7.49%</w:t>
      </w:r>
      <w:r>
        <w:rPr>
          <w:rFonts w:ascii="Times New Roman" w:hAnsi="Times New Roman" w:eastAsia="仿宋" w:cs="Times New Roman"/>
          <w:sz w:val="28"/>
          <w:szCs w:val="28"/>
        </w:rPr>
        <w:t>，</w:t>
      </w:r>
      <w:r>
        <w:rPr>
          <w:rFonts w:hint="eastAsia" w:ascii="Times New Roman" w:hAnsi="Times New Roman" w:eastAsia="仿宋_GB2312" w:cs="Times New Roman"/>
          <w:spacing w:val="-4"/>
          <w:sz w:val="28"/>
          <w:szCs w:val="28"/>
        </w:rPr>
        <w:t>占本评估期实收服务总经费的19.46%，</w:t>
      </w:r>
      <w:r>
        <w:rPr>
          <w:rFonts w:ascii="Times New Roman" w:hAnsi="Times New Roman" w:eastAsia="仿宋" w:cs="Times New Roman"/>
          <w:sz w:val="28"/>
          <w:szCs w:val="28"/>
        </w:rPr>
        <w:t>本期预算执行率（整体协议期）</w:t>
      </w:r>
      <w:r>
        <w:rPr>
          <w:rFonts w:hint="eastAsia" w:ascii="Times New Roman" w:hAnsi="Times New Roman" w:eastAsia="仿宋" w:cs="Times New Roman"/>
          <w:sz w:val="28"/>
          <w:szCs w:val="28"/>
        </w:rPr>
        <w:t>37.46%</w:t>
      </w:r>
      <w:r>
        <w:rPr>
          <w:rFonts w:ascii="Times New Roman" w:hAnsi="Times New Roman" w:eastAsia="仿宋" w:cs="Times New Roman"/>
          <w:sz w:val="28"/>
          <w:szCs w:val="28"/>
        </w:rPr>
        <w:t>，具体经费支出情况如下：</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㈠用于人员费用支出</w:t>
      </w:r>
      <w:r>
        <w:rPr>
          <w:rFonts w:hint="eastAsia" w:ascii="Times New Roman" w:hAnsi="Times New Roman" w:eastAsia="仿宋_GB2312" w:cs="Times New Roman"/>
          <w:sz w:val="28"/>
          <w:szCs w:val="28"/>
        </w:rPr>
        <w:t>844,475.26</w:t>
      </w:r>
      <w:r>
        <w:rPr>
          <w:rFonts w:ascii="Times New Roman" w:hAnsi="Times New Roman" w:eastAsia="仿宋_GB2312" w:cs="Times New Roman"/>
          <w:sz w:val="28"/>
          <w:szCs w:val="28"/>
        </w:rPr>
        <w:t>元，</w:t>
      </w:r>
      <w:r>
        <w:rPr>
          <w:rFonts w:ascii="Times New Roman" w:hAnsi="Times New Roman" w:eastAsia="仿宋" w:cs="Times New Roman"/>
          <w:sz w:val="28"/>
          <w:szCs w:val="28"/>
        </w:rPr>
        <w:t>占本协议期应收服务总经费的</w:t>
      </w:r>
      <w:r>
        <w:rPr>
          <w:rFonts w:hint="eastAsia" w:ascii="Times New Roman" w:hAnsi="Times New Roman" w:eastAsia="仿宋" w:cs="Times New Roman"/>
          <w:sz w:val="28"/>
          <w:szCs w:val="28"/>
        </w:rPr>
        <w:t>35.19%，</w:t>
      </w:r>
      <w:r>
        <w:rPr>
          <w:rFonts w:ascii="Times New Roman" w:hAnsi="Times New Roman" w:eastAsia="仿宋_GB2312" w:cs="Times New Roman"/>
          <w:sz w:val="28"/>
          <w:szCs w:val="28"/>
        </w:rPr>
        <w:t>占本评估期实收服务总经费的</w:t>
      </w:r>
      <w:r>
        <w:rPr>
          <w:rFonts w:hint="eastAsia" w:ascii="Times New Roman" w:hAnsi="Times New Roman" w:eastAsia="仿宋_GB2312" w:cs="Times New Roman"/>
          <w:sz w:val="28"/>
          <w:szCs w:val="28"/>
        </w:rPr>
        <w:t>91.39%</w:t>
      </w:r>
      <w:r>
        <w:rPr>
          <w:rFonts w:ascii="Times New Roman" w:hAnsi="Times New Roman" w:eastAsia="仿宋_GB2312" w:cs="Times New Roman"/>
          <w:sz w:val="28"/>
          <w:szCs w:val="28"/>
        </w:rPr>
        <w:t>。其中：</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１、工资总额支出</w:t>
      </w:r>
      <w:r>
        <w:rPr>
          <w:rFonts w:hint="eastAsia" w:ascii="Times New Roman" w:hAnsi="Times New Roman" w:eastAsia="仿宋_GB2312" w:cs="Times New Roman"/>
          <w:sz w:val="28"/>
          <w:szCs w:val="28"/>
        </w:rPr>
        <w:t>694,270.77</w:t>
      </w:r>
      <w:r>
        <w:rPr>
          <w:rFonts w:ascii="Times New Roman" w:hAnsi="Times New Roman" w:eastAsia="仿宋_GB2312" w:cs="Times New Roman"/>
          <w:sz w:val="28"/>
          <w:szCs w:val="28"/>
        </w:rPr>
        <w:t>元；</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２、五险金支出</w:t>
      </w:r>
      <w:r>
        <w:rPr>
          <w:rFonts w:hint="eastAsia" w:ascii="Times New Roman" w:hAnsi="Times New Roman" w:eastAsia="仿宋_GB2312" w:cs="Times New Roman"/>
          <w:sz w:val="28"/>
          <w:szCs w:val="28"/>
        </w:rPr>
        <w:t>124,521.99</w:t>
      </w:r>
      <w:r>
        <w:rPr>
          <w:rFonts w:ascii="Times New Roman" w:hAnsi="Times New Roman" w:eastAsia="仿宋_GB2312" w:cs="Times New Roman"/>
          <w:sz w:val="28"/>
          <w:szCs w:val="28"/>
        </w:rPr>
        <w:t>元；</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３、公积金支出</w:t>
      </w:r>
      <w:r>
        <w:rPr>
          <w:rFonts w:hint="eastAsia" w:ascii="Times New Roman" w:hAnsi="Times New Roman" w:eastAsia="仿宋_GB2312" w:cs="Times New Roman"/>
          <w:sz w:val="28"/>
          <w:szCs w:val="28"/>
        </w:rPr>
        <w:t>25,682.50</w:t>
      </w:r>
      <w:r>
        <w:rPr>
          <w:rFonts w:ascii="Times New Roman" w:hAnsi="Times New Roman" w:eastAsia="仿宋_GB2312" w:cs="Times New Roman"/>
          <w:sz w:val="28"/>
          <w:szCs w:val="28"/>
        </w:rPr>
        <w:t>元；</w:t>
      </w:r>
    </w:p>
    <w:p>
      <w:pPr>
        <w:spacing w:line="58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㈡用于服务质量保障费用的支出合计91,274.27元，</w:t>
      </w:r>
      <w:r>
        <w:rPr>
          <w:rFonts w:ascii="Times New Roman" w:hAnsi="Times New Roman" w:eastAsia="仿宋" w:cs="Times New Roman"/>
          <w:sz w:val="28"/>
          <w:szCs w:val="28"/>
        </w:rPr>
        <w:t>占本协议期应收服务</w:t>
      </w:r>
      <w:r>
        <w:rPr>
          <w:rFonts w:hint="eastAsia" w:ascii="Times New Roman" w:hAnsi="Times New Roman" w:eastAsia="仿宋" w:cs="Times New Roman"/>
          <w:sz w:val="28"/>
          <w:szCs w:val="28"/>
        </w:rPr>
        <w:t>总</w:t>
      </w:r>
      <w:r>
        <w:rPr>
          <w:rFonts w:ascii="Times New Roman" w:hAnsi="Times New Roman" w:eastAsia="仿宋" w:cs="Times New Roman"/>
          <w:sz w:val="28"/>
          <w:szCs w:val="28"/>
        </w:rPr>
        <w:t>经费的3.80%</w:t>
      </w:r>
      <w:r>
        <w:rPr>
          <w:rFonts w:ascii="Times New Roman" w:hAnsi="Times New Roman" w:eastAsia="仿宋_GB2312" w:cs="Times New Roman"/>
          <w:sz w:val="28"/>
          <w:szCs w:val="28"/>
        </w:rPr>
        <w:t>，占本评估期实收服务总经费的9.88%</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其中：</w:t>
      </w:r>
    </w:p>
    <w:p>
      <w:pPr>
        <w:numPr>
          <w:ilvl w:val="0"/>
          <w:numId w:val="1"/>
        </w:num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用于开展与专业服务和活动的支出</w:t>
      </w:r>
      <w:r>
        <w:rPr>
          <w:rFonts w:hint="eastAsia" w:ascii="Times New Roman" w:hAnsi="Times New Roman" w:eastAsia="仿宋_GB2312" w:cs="Times New Roman"/>
          <w:sz w:val="28"/>
          <w:szCs w:val="28"/>
        </w:rPr>
        <w:t>7,382.50</w:t>
      </w:r>
      <w:r>
        <w:rPr>
          <w:rFonts w:ascii="Times New Roman" w:hAnsi="Times New Roman" w:eastAsia="仿宋_GB2312" w:cs="Times New Roman"/>
          <w:sz w:val="28"/>
          <w:szCs w:val="28"/>
        </w:rPr>
        <w:t>元</w:t>
      </w:r>
      <w:r>
        <w:rPr>
          <w:rFonts w:hint="eastAsia" w:ascii="Times New Roman" w:hAnsi="Times New Roman" w:eastAsia="仿宋_GB2312" w:cs="Times New Roman"/>
          <w:sz w:val="28"/>
          <w:szCs w:val="28"/>
        </w:rPr>
        <w:t>，占本评估期实收服务总经费的</w:t>
      </w:r>
      <w:r>
        <w:rPr>
          <w:rFonts w:ascii="Times New Roman" w:hAnsi="Times New Roman" w:eastAsia="仿宋_GB2312" w:cs="Times New Roman"/>
          <w:sz w:val="28"/>
          <w:szCs w:val="28"/>
        </w:rPr>
        <w:t>0.80%。</w:t>
      </w:r>
    </w:p>
    <w:p>
      <w:pPr>
        <w:spacing w:line="58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⑴</w:t>
      </w:r>
      <w:r>
        <w:rPr>
          <w:rFonts w:ascii="Times New Roman" w:hAnsi="Times New Roman" w:eastAsia="仿宋" w:cs="Times New Roman"/>
          <w:sz w:val="28"/>
          <w:szCs w:val="28"/>
        </w:rPr>
        <w:t>服务和活动物料支出</w:t>
      </w:r>
      <w:r>
        <w:rPr>
          <w:rFonts w:hint="eastAsia" w:ascii="Times New Roman" w:hAnsi="Times New Roman" w:eastAsia="仿宋" w:cs="Times New Roman"/>
          <w:sz w:val="28"/>
          <w:szCs w:val="28"/>
        </w:rPr>
        <w:t>87.14</w:t>
      </w:r>
      <w:r>
        <w:rPr>
          <w:rFonts w:ascii="Times New Roman" w:hAnsi="Times New Roman" w:eastAsia="仿宋" w:cs="Times New Roman"/>
          <w:sz w:val="28"/>
          <w:szCs w:val="28"/>
        </w:rPr>
        <w:t>元；</w:t>
      </w:r>
    </w:p>
    <w:p>
      <w:pPr>
        <w:spacing w:line="58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⑵</w:t>
      </w:r>
      <w:r>
        <w:rPr>
          <w:rFonts w:ascii="Times New Roman" w:hAnsi="Times New Roman" w:eastAsia="仿宋" w:cs="Times New Roman"/>
          <w:sz w:val="28"/>
          <w:szCs w:val="28"/>
        </w:rPr>
        <w:t>宣传费支出</w:t>
      </w:r>
      <w:r>
        <w:rPr>
          <w:rFonts w:hint="eastAsia" w:ascii="Times New Roman" w:hAnsi="Times New Roman" w:eastAsia="仿宋" w:cs="Times New Roman"/>
          <w:sz w:val="28"/>
          <w:szCs w:val="28"/>
        </w:rPr>
        <w:t>7,295.36</w:t>
      </w:r>
      <w:r>
        <w:rPr>
          <w:rFonts w:ascii="Times New Roman" w:hAnsi="Times New Roman" w:eastAsia="仿宋" w:cs="Times New Roman"/>
          <w:sz w:val="28"/>
          <w:szCs w:val="28"/>
        </w:rPr>
        <w:t>元；</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２、用于日常办公费用支出</w:t>
      </w:r>
      <w:r>
        <w:rPr>
          <w:rFonts w:hint="eastAsia" w:ascii="Times New Roman" w:hAnsi="Times New Roman" w:eastAsia="仿宋_GB2312" w:cs="Times New Roman"/>
          <w:sz w:val="28"/>
          <w:szCs w:val="28"/>
        </w:rPr>
        <w:t>9,510.93</w:t>
      </w:r>
      <w:r>
        <w:rPr>
          <w:rFonts w:ascii="Times New Roman" w:hAnsi="Times New Roman" w:eastAsia="仿宋_GB2312" w:cs="Times New Roman"/>
          <w:sz w:val="28"/>
          <w:szCs w:val="28"/>
        </w:rPr>
        <w:t>元</w:t>
      </w:r>
      <w:r>
        <w:rPr>
          <w:rFonts w:hint="eastAsia" w:ascii="Times New Roman" w:hAnsi="Times New Roman" w:eastAsia="仿宋_GB2312" w:cs="Times New Roman"/>
          <w:sz w:val="28"/>
          <w:szCs w:val="28"/>
        </w:rPr>
        <w:t>，占本评估期实收服务总经费的</w:t>
      </w:r>
      <w:r>
        <w:rPr>
          <w:rFonts w:ascii="Times New Roman" w:hAnsi="Times New Roman" w:eastAsia="仿宋_GB2312" w:cs="Times New Roman"/>
          <w:sz w:val="28"/>
          <w:szCs w:val="28"/>
        </w:rPr>
        <w:t>1.03%。</w:t>
      </w:r>
    </w:p>
    <w:p>
      <w:pPr>
        <w:spacing w:line="58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⑴</w:t>
      </w:r>
      <w:r>
        <w:rPr>
          <w:rFonts w:ascii="Times New Roman" w:hAnsi="Times New Roman" w:eastAsia="仿宋" w:cs="Times New Roman"/>
          <w:sz w:val="28"/>
          <w:szCs w:val="28"/>
        </w:rPr>
        <w:t>办公费耗材支出</w:t>
      </w:r>
      <w:r>
        <w:rPr>
          <w:rFonts w:hint="eastAsia" w:ascii="Times New Roman" w:hAnsi="Times New Roman" w:eastAsia="仿宋" w:cs="Times New Roman"/>
          <w:sz w:val="28"/>
          <w:szCs w:val="28"/>
        </w:rPr>
        <w:t>2,582.88</w:t>
      </w:r>
      <w:r>
        <w:rPr>
          <w:rFonts w:ascii="Times New Roman" w:hAnsi="Times New Roman" w:eastAsia="仿宋" w:cs="Times New Roman"/>
          <w:sz w:val="28"/>
          <w:szCs w:val="28"/>
        </w:rPr>
        <w:t>元；</w:t>
      </w:r>
    </w:p>
    <w:p>
      <w:pPr>
        <w:spacing w:line="58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⑵</w:t>
      </w:r>
      <w:r>
        <w:rPr>
          <w:rFonts w:ascii="Times New Roman" w:hAnsi="Times New Roman" w:eastAsia="仿宋" w:cs="Times New Roman"/>
          <w:sz w:val="28"/>
          <w:szCs w:val="28"/>
        </w:rPr>
        <w:t>电信费支出</w:t>
      </w:r>
      <w:r>
        <w:rPr>
          <w:rFonts w:hint="eastAsia" w:ascii="Times New Roman" w:hAnsi="Times New Roman" w:eastAsia="仿宋" w:cs="Times New Roman"/>
          <w:sz w:val="28"/>
          <w:szCs w:val="28"/>
        </w:rPr>
        <w:t>3,228.50</w:t>
      </w:r>
      <w:r>
        <w:rPr>
          <w:rFonts w:ascii="Times New Roman" w:hAnsi="Times New Roman" w:eastAsia="仿宋" w:cs="Times New Roman"/>
          <w:sz w:val="28"/>
          <w:szCs w:val="28"/>
        </w:rPr>
        <w:t>元；</w:t>
      </w:r>
    </w:p>
    <w:p>
      <w:pPr>
        <w:spacing w:line="58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⑶</w:t>
      </w:r>
      <w:r>
        <w:rPr>
          <w:rFonts w:ascii="Times New Roman" w:hAnsi="Times New Roman" w:eastAsia="仿宋" w:cs="Times New Roman"/>
          <w:sz w:val="28"/>
          <w:szCs w:val="28"/>
        </w:rPr>
        <w:t>水电费支出</w:t>
      </w:r>
      <w:r>
        <w:rPr>
          <w:rFonts w:hint="eastAsia" w:ascii="Times New Roman" w:hAnsi="Times New Roman" w:eastAsia="仿宋" w:cs="Times New Roman"/>
          <w:sz w:val="28"/>
          <w:szCs w:val="28"/>
        </w:rPr>
        <w:t>2,243.78</w:t>
      </w:r>
      <w:r>
        <w:rPr>
          <w:rFonts w:ascii="Times New Roman" w:hAnsi="Times New Roman" w:eastAsia="仿宋" w:cs="Times New Roman"/>
          <w:sz w:val="28"/>
          <w:szCs w:val="28"/>
        </w:rPr>
        <w:t>元；</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⑷</w:t>
      </w:r>
      <w:r>
        <w:rPr>
          <w:rFonts w:ascii="Times New Roman" w:hAnsi="Times New Roman" w:eastAsia="仿宋" w:cs="Times New Roman"/>
          <w:sz w:val="28"/>
          <w:szCs w:val="28"/>
        </w:rPr>
        <w:t>银行手续费支出</w:t>
      </w:r>
      <w:r>
        <w:rPr>
          <w:rFonts w:hint="eastAsia" w:ascii="Times New Roman" w:hAnsi="Times New Roman" w:eastAsia="仿宋" w:cs="Times New Roman"/>
          <w:sz w:val="28"/>
          <w:szCs w:val="28"/>
        </w:rPr>
        <w:t>1,455.77</w:t>
      </w:r>
      <w:r>
        <w:rPr>
          <w:rFonts w:ascii="Times New Roman" w:hAnsi="Times New Roman" w:eastAsia="仿宋" w:cs="Times New Roman"/>
          <w:sz w:val="28"/>
          <w:szCs w:val="28"/>
        </w:rPr>
        <w:t>元；</w:t>
      </w:r>
    </w:p>
    <w:p>
      <w:pPr>
        <w:spacing w:line="580" w:lineRule="exact"/>
        <w:ind w:firstLine="560" w:firstLineChars="200"/>
        <w:rPr>
          <w:rFonts w:ascii="Times New Roman" w:hAnsi="Times New Roman" w:eastAsia="仿宋" w:cs="Times New Roman"/>
          <w:sz w:val="28"/>
          <w:szCs w:val="28"/>
        </w:rPr>
      </w:pPr>
      <w:r>
        <w:rPr>
          <w:rFonts w:ascii="Times New Roman" w:hAnsi="Times New Roman" w:eastAsia="仿宋_GB2312" w:cs="Times New Roman"/>
          <w:sz w:val="28"/>
          <w:szCs w:val="28"/>
        </w:rPr>
        <w:t>３、</w:t>
      </w:r>
      <w:r>
        <w:rPr>
          <w:rFonts w:ascii="Times New Roman" w:hAnsi="Times New Roman" w:eastAsia="仿宋" w:cs="Times New Roman"/>
          <w:sz w:val="28"/>
          <w:szCs w:val="28"/>
        </w:rPr>
        <w:t>中标费支出</w:t>
      </w:r>
      <w:r>
        <w:rPr>
          <w:rFonts w:hint="eastAsia" w:ascii="Times New Roman" w:hAnsi="Times New Roman" w:eastAsia="仿宋" w:cs="Times New Roman"/>
          <w:sz w:val="28"/>
          <w:szCs w:val="28"/>
        </w:rPr>
        <w:t>18,966.66</w:t>
      </w:r>
      <w:r>
        <w:rPr>
          <w:rFonts w:ascii="Times New Roman" w:hAnsi="Times New Roman" w:eastAsia="仿宋" w:cs="Times New Roman"/>
          <w:sz w:val="28"/>
          <w:szCs w:val="28"/>
        </w:rPr>
        <w:t>元</w:t>
      </w:r>
      <w:r>
        <w:rPr>
          <w:rFonts w:hint="eastAsia" w:ascii="Times New Roman" w:hAnsi="Times New Roman" w:eastAsia="仿宋" w:cs="Times New Roman"/>
          <w:sz w:val="28"/>
          <w:szCs w:val="28"/>
        </w:rPr>
        <w:t>，</w:t>
      </w:r>
      <w:r>
        <w:rPr>
          <w:rFonts w:hint="eastAsia" w:ascii="Times New Roman" w:hAnsi="Times New Roman" w:eastAsia="仿宋_GB2312" w:cs="Times New Roman"/>
          <w:sz w:val="28"/>
          <w:szCs w:val="28"/>
        </w:rPr>
        <w:t>占本评估期实收服务总经费的</w:t>
      </w:r>
      <w:r>
        <w:rPr>
          <w:rFonts w:ascii="Times New Roman" w:hAnsi="Times New Roman" w:eastAsia="仿宋_GB2312" w:cs="Times New Roman"/>
          <w:sz w:val="28"/>
          <w:szCs w:val="28"/>
        </w:rPr>
        <w:t>2.05%</w:t>
      </w:r>
      <w:r>
        <w:rPr>
          <w:rFonts w:ascii="Times New Roman" w:hAnsi="Times New Roman" w:eastAsia="仿宋" w:cs="Times New Roman"/>
          <w:sz w:val="28"/>
          <w:szCs w:val="28"/>
        </w:rPr>
        <w:t>。</w:t>
      </w:r>
    </w:p>
    <w:p>
      <w:pPr>
        <w:spacing w:line="58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４、</w:t>
      </w:r>
      <w:r>
        <w:rPr>
          <w:rFonts w:ascii="Times New Roman" w:hAnsi="Times New Roman" w:eastAsia="仿宋" w:cs="Times New Roman"/>
          <w:sz w:val="28"/>
          <w:szCs w:val="28"/>
        </w:rPr>
        <w:t>用于机构年度相关税费支出</w:t>
      </w:r>
      <w:r>
        <w:rPr>
          <w:rFonts w:hint="eastAsia" w:ascii="Times New Roman" w:hAnsi="Times New Roman" w:eastAsia="仿宋" w:cs="Times New Roman"/>
          <w:sz w:val="28"/>
          <w:szCs w:val="28"/>
        </w:rPr>
        <w:t>55,414.18</w:t>
      </w:r>
      <w:r>
        <w:rPr>
          <w:rFonts w:ascii="Times New Roman" w:hAnsi="Times New Roman" w:eastAsia="仿宋" w:cs="Times New Roman"/>
          <w:sz w:val="28"/>
          <w:szCs w:val="28"/>
        </w:rPr>
        <w:t>元</w:t>
      </w:r>
      <w:r>
        <w:rPr>
          <w:rFonts w:hint="eastAsia" w:ascii="Times New Roman" w:hAnsi="Times New Roman" w:eastAsia="仿宋_GB2312" w:cs="Times New Roman"/>
          <w:sz w:val="28"/>
          <w:szCs w:val="28"/>
        </w:rPr>
        <w:t>，占本评估期实收服务总经费的</w:t>
      </w:r>
      <w:r>
        <w:rPr>
          <w:rFonts w:ascii="Times New Roman" w:hAnsi="Times New Roman" w:eastAsia="仿宋_GB2312" w:cs="Times New Roman"/>
          <w:sz w:val="28"/>
          <w:szCs w:val="28"/>
        </w:rPr>
        <w:t>6.00%</w:t>
      </w:r>
      <w:r>
        <w:rPr>
          <w:rFonts w:ascii="Times New Roman" w:hAnsi="Times New Roman" w:eastAsia="仿宋" w:cs="Times New Roman"/>
          <w:sz w:val="28"/>
          <w:szCs w:val="28"/>
        </w:rPr>
        <w:t>。</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㈢用于运营管理费用支出88,550.52元，</w:t>
      </w:r>
      <w:r>
        <w:rPr>
          <w:rFonts w:ascii="Times New Roman" w:hAnsi="Times New Roman" w:eastAsia="仿宋" w:cs="Times New Roman"/>
          <w:sz w:val="28"/>
          <w:szCs w:val="28"/>
        </w:rPr>
        <w:t>占本协议期应收服务经费的3.69%</w:t>
      </w:r>
      <w:r>
        <w:rPr>
          <w:rFonts w:hint="eastAsia" w:ascii="Times New Roman" w:hAnsi="Times New Roman" w:eastAsia="仿宋" w:cs="Times New Roman"/>
          <w:sz w:val="28"/>
          <w:szCs w:val="28"/>
        </w:rPr>
        <w:t>，</w:t>
      </w:r>
      <w:r>
        <w:rPr>
          <w:rFonts w:ascii="Times New Roman" w:hAnsi="Times New Roman" w:eastAsia="仿宋_GB2312" w:cs="Times New Roman"/>
          <w:sz w:val="28"/>
          <w:szCs w:val="28"/>
        </w:rPr>
        <w:t>占本评估期实收服务总经费的9.58%。其中：</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１、分摊机构人员工资</w:t>
      </w:r>
      <w:r>
        <w:rPr>
          <w:rFonts w:hint="eastAsia" w:ascii="Times New Roman" w:hAnsi="Times New Roman" w:eastAsia="仿宋" w:cs="Times New Roman"/>
          <w:sz w:val="28"/>
          <w:szCs w:val="28"/>
        </w:rPr>
        <w:t>55,575.37</w:t>
      </w:r>
      <w:r>
        <w:rPr>
          <w:rFonts w:ascii="Times New Roman" w:hAnsi="Times New Roman" w:eastAsia="仿宋" w:cs="Times New Roman"/>
          <w:sz w:val="28"/>
          <w:szCs w:val="28"/>
        </w:rPr>
        <w:t xml:space="preserve">元； </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２、分摊机构人员社保</w:t>
      </w:r>
      <w:r>
        <w:rPr>
          <w:rFonts w:hint="eastAsia" w:ascii="Times New Roman" w:hAnsi="Times New Roman" w:eastAsia="仿宋" w:cs="Times New Roman"/>
          <w:sz w:val="28"/>
          <w:szCs w:val="28"/>
        </w:rPr>
        <w:t>5,780.66</w:t>
      </w:r>
      <w:r>
        <w:rPr>
          <w:rFonts w:ascii="Times New Roman" w:hAnsi="Times New Roman" w:eastAsia="仿宋" w:cs="Times New Roman"/>
          <w:sz w:val="28"/>
          <w:szCs w:val="28"/>
        </w:rPr>
        <w:t>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３、分摊机构人员公积金</w:t>
      </w:r>
      <w:r>
        <w:rPr>
          <w:rFonts w:hint="eastAsia" w:ascii="Times New Roman" w:hAnsi="Times New Roman" w:eastAsia="仿宋" w:cs="Times New Roman"/>
          <w:sz w:val="28"/>
          <w:szCs w:val="28"/>
        </w:rPr>
        <w:t>1,564.98</w:t>
      </w:r>
      <w:r>
        <w:rPr>
          <w:rFonts w:ascii="Times New Roman" w:hAnsi="Times New Roman" w:eastAsia="仿宋" w:cs="Times New Roman"/>
          <w:sz w:val="28"/>
          <w:szCs w:val="28"/>
        </w:rPr>
        <w:t xml:space="preserve">元； </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４、分摊机构费用</w:t>
      </w:r>
      <w:r>
        <w:rPr>
          <w:rFonts w:hint="eastAsia" w:ascii="Times New Roman" w:hAnsi="Times New Roman" w:eastAsia="仿宋" w:cs="Times New Roman"/>
          <w:sz w:val="28"/>
          <w:szCs w:val="28"/>
        </w:rPr>
        <w:t>12,485.54</w:t>
      </w:r>
      <w:r>
        <w:rPr>
          <w:rFonts w:ascii="Times New Roman" w:hAnsi="Times New Roman" w:eastAsia="仿宋" w:cs="Times New Roman"/>
          <w:sz w:val="28"/>
          <w:szCs w:val="28"/>
        </w:rPr>
        <w:t>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５、工会经费支出</w:t>
      </w:r>
      <w:r>
        <w:rPr>
          <w:rFonts w:hint="eastAsia" w:ascii="Times New Roman" w:hAnsi="Times New Roman" w:eastAsia="仿宋" w:cs="Times New Roman"/>
          <w:sz w:val="28"/>
          <w:szCs w:val="28"/>
        </w:rPr>
        <w:t>11,526.73</w:t>
      </w:r>
      <w:r>
        <w:rPr>
          <w:rFonts w:ascii="Times New Roman" w:hAnsi="Times New Roman" w:eastAsia="仿宋" w:cs="Times New Roman"/>
          <w:sz w:val="28"/>
          <w:szCs w:val="28"/>
        </w:rPr>
        <w:t>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６</w:t>
      </w:r>
      <w:r>
        <w:rPr>
          <w:rFonts w:hint="eastAsia" w:ascii="Times New Roman" w:hAnsi="Times New Roman" w:eastAsia="仿宋" w:cs="Times New Roman"/>
          <w:sz w:val="28"/>
          <w:szCs w:val="28"/>
        </w:rPr>
        <w:t>、残疾人保障金支出1,617.24元。</w:t>
      </w:r>
    </w:p>
    <w:p>
      <w:pPr>
        <w:spacing w:line="60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七、</w:t>
      </w:r>
      <w:r>
        <w:rPr>
          <w:rFonts w:hint="eastAsia" w:eastAsia="仿宋"/>
          <w:b/>
          <w:sz w:val="28"/>
          <w:szCs w:val="28"/>
        </w:rPr>
        <w:t>前期经费收、支、结余变化情况</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截至报告日，协议期2023年9月4日至2024年8月14日结余资金发生变动，具体情况如下：</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经评估，本评估期内收到该协议期服务经费</w:t>
      </w:r>
      <w:r>
        <w:rPr>
          <w:rFonts w:ascii="Times New Roman" w:hAnsi="Times New Roman" w:eastAsia="仿宋_GB2312" w:cs="Times New Roman"/>
          <w:sz w:val="28"/>
          <w:szCs w:val="28"/>
        </w:rPr>
        <w:t>113,500.00</w:t>
      </w:r>
      <w:r>
        <w:rPr>
          <w:rFonts w:hint="eastAsia" w:ascii="Times New Roman" w:hAnsi="Times New Roman" w:eastAsia="仿宋_GB2312" w:cs="Times New Roman"/>
          <w:sz w:val="28"/>
          <w:szCs w:val="28"/>
        </w:rPr>
        <w:t>元，支付归属于该协议期支出</w:t>
      </w:r>
      <w:r>
        <w:rPr>
          <w:rFonts w:ascii="Times New Roman" w:hAnsi="Times New Roman" w:eastAsia="仿宋_GB2312" w:cs="Times New Roman"/>
          <w:sz w:val="28"/>
          <w:szCs w:val="28"/>
        </w:rPr>
        <w:t>6,776.88</w:t>
      </w:r>
      <w:r>
        <w:rPr>
          <w:rFonts w:hint="eastAsia" w:ascii="Times New Roman" w:hAnsi="Times New Roman" w:eastAsia="仿宋_GB2312" w:cs="Times New Roman"/>
          <w:sz w:val="28"/>
          <w:szCs w:val="28"/>
        </w:rPr>
        <w:t>元，为服务质量保障费用－机构年度相关税费支出，该项支出为开具该协议期服务经费开票</w:t>
      </w:r>
      <w:r>
        <w:rPr>
          <w:rFonts w:ascii="Times New Roman" w:hAnsi="Times New Roman" w:eastAsia="仿宋_GB2312" w:cs="Times New Roman"/>
          <w:sz w:val="28"/>
          <w:szCs w:val="28"/>
        </w:rPr>
        <w:t>113,500.00</w:t>
      </w:r>
      <w:r>
        <w:rPr>
          <w:rFonts w:hint="eastAsia" w:ascii="Times New Roman" w:hAnsi="Times New Roman" w:eastAsia="仿宋_GB2312" w:cs="Times New Roman"/>
          <w:sz w:val="28"/>
          <w:szCs w:val="28"/>
        </w:rPr>
        <w:t>元，申报缴纳的增值税及城建税、附加税。</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调整后，该协议期累计收到服务经费</w:t>
      </w:r>
      <w:r>
        <w:rPr>
          <w:rFonts w:ascii="Times New Roman" w:hAnsi="Times New Roman" w:eastAsia="仿宋_GB2312" w:cs="Times New Roman"/>
          <w:sz w:val="28"/>
          <w:szCs w:val="28"/>
        </w:rPr>
        <w:t>2,270,000.00</w:t>
      </w:r>
      <w:r>
        <w:rPr>
          <w:rFonts w:hint="eastAsia" w:ascii="Times New Roman" w:hAnsi="Times New Roman" w:eastAsia="仿宋_GB2312" w:cs="Times New Roman"/>
          <w:sz w:val="28"/>
          <w:szCs w:val="28"/>
        </w:rPr>
        <w:t>元，累计支出</w:t>
      </w:r>
      <w:r>
        <w:rPr>
          <w:rFonts w:ascii="Times New Roman" w:hAnsi="Times New Roman" w:eastAsia="仿宋_GB2312" w:cs="Times New Roman"/>
          <w:sz w:val="28"/>
          <w:szCs w:val="28"/>
        </w:rPr>
        <w:t>2,263,327.92</w:t>
      </w:r>
      <w:r>
        <w:rPr>
          <w:rFonts w:hint="eastAsia" w:ascii="Times New Roman" w:hAnsi="Times New Roman" w:eastAsia="仿宋_GB2312" w:cs="Times New Roman"/>
          <w:sz w:val="28"/>
          <w:szCs w:val="28"/>
        </w:rPr>
        <w:t>元，结余资金为</w:t>
      </w:r>
      <w:r>
        <w:rPr>
          <w:rFonts w:ascii="Times New Roman" w:hAnsi="Times New Roman" w:eastAsia="仿宋_GB2312" w:cs="Times New Roman"/>
          <w:sz w:val="28"/>
          <w:szCs w:val="28"/>
        </w:rPr>
        <w:t>6,672.08</w:t>
      </w:r>
      <w:r>
        <w:rPr>
          <w:rFonts w:hint="eastAsia" w:ascii="Times New Roman" w:hAnsi="Times New Roman" w:eastAsia="仿宋_GB2312" w:cs="Times New Roman"/>
          <w:sz w:val="28"/>
          <w:szCs w:val="28"/>
        </w:rPr>
        <w:t>元。该协议期人员费用支出占服务总经费的</w:t>
      </w:r>
      <w:r>
        <w:rPr>
          <w:rFonts w:ascii="Times New Roman" w:hAnsi="Times New Roman" w:eastAsia="仿宋_GB2312" w:cs="Times New Roman"/>
          <w:sz w:val="28"/>
          <w:szCs w:val="28"/>
        </w:rPr>
        <w:t>80.04%</w:t>
      </w:r>
      <w:r>
        <w:rPr>
          <w:rFonts w:hint="eastAsia" w:ascii="Times New Roman" w:hAnsi="Times New Roman" w:eastAsia="仿宋_GB2312" w:cs="Times New Roman"/>
          <w:sz w:val="28"/>
          <w:szCs w:val="28"/>
        </w:rPr>
        <w:t>，服务质量保障费用及承接机构管理费用占服务总经费的</w:t>
      </w:r>
      <w:r>
        <w:rPr>
          <w:rFonts w:ascii="Times New Roman" w:hAnsi="Times New Roman" w:eastAsia="仿宋_GB2312" w:cs="Times New Roman"/>
          <w:sz w:val="28"/>
          <w:szCs w:val="28"/>
        </w:rPr>
        <w:t>19.66%</w:t>
      </w:r>
      <w:r>
        <w:rPr>
          <w:rFonts w:hint="eastAsia" w:ascii="Times New Roman" w:hAnsi="Times New Roman" w:eastAsia="仿宋_GB2312" w:cs="Times New Roman"/>
          <w:sz w:val="28"/>
          <w:szCs w:val="28"/>
        </w:rPr>
        <w:t>，其中承接机构管理费用占服务总经费的</w:t>
      </w:r>
      <w:r>
        <w:rPr>
          <w:rFonts w:ascii="Times New Roman" w:hAnsi="Times New Roman" w:eastAsia="仿宋_GB2312" w:cs="Times New Roman"/>
          <w:sz w:val="28"/>
          <w:szCs w:val="28"/>
        </w:rPr>
        <w:t>8.59%</w:t>
      </w:r>
      <w:r>
        <w:rPr>
          <w:rFonts w:hint="eastAsia" w:ascii="Times New Roman" w:hAnsi="Times New Roman" w:eastAsia="仿宋_GB2312" w:cs="Times New Roman"/>
          <w:sz w:val="28"/>
          <w:szCs w:val="28"/>
        </w:rPr>
        <w:t>。</w:t>
      </w:r>
    </w:p>
    <w:p>
      <w:pPr>
        <w:spacing w:line="59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八</w:t>
      </w:r>
      <w:r>
        <w:rPr>
          <w:rFonts w:ascii="Times New Roman" w:hAnsi="Times New Roman" w:eastAsia="仿宋_GB2312" w:cs="Times New Roman"/>
          <w:b/>
          <w:sz w:val="28"/>
          <w:szCs w:val="28"/>
        </w:rPr>
        <w:t>、累计结余情况（</w:t>
      </w:r>
      <w:r>
        <w:rPr>
          <w:rFonts w:hint="eastAsia" w:ascii="Times New Roman" w:hAnsi="Times New Roman" w:eastAsia="仿宋_GB2312" w:cs="Times New Roman"/>
          <w:b/>
          <w:sz w:val="28"/>
          <w:szCs w:val="28"/>
        </w:rPr>
        <w:t>2019年11月15日</w:t>
      </w:r>
      <w:r>
        <w:rPr>
          <w:rFonts w:ascii="Times New Roman" w:hAnsi="Times New Roman" w:eastAsia="仿宋_GB2312" w:cs="Times New Roman"/>
          <w:b/>
          <w:sz w:val="28"/>
          <w:szCs w:val="28"/>
        </w:rPr>
        <w:t>~202</w:t>
      </w:r>
      <w:r>
        <w:rPr>
          <w:rFonts w:hint="eastAsia" w:ascii="Times New Roman" w:hAnsi="Times New Roman" w:eastAsia="仿宋_GB2312" w:cs="Times New Roman"/>
          <w:b/>
          <w:sz w:val="28"/>
          <w:szCs w:val="28"/>
        </w:rPr>
        <w:t>5</w:t>
      </w:r>
      <w:r>
        <w:rPr>
          <w:rFonts w:ascii="Times New Roman" w:hAnsi="Times New Roman" w:eastAsia="仿宋_GB2312" w:cs="Times New Roman"/>
          <w:b/>
          <w:sz w:val="28"/>
          <w:szCs w:val="28"/>
        </w:rPr>
        <w:t>年</w:t>
      </w:r>
      <w:r>
        <w:rPr>
          <w:rFonts w:hint="eastAsia" w:ascii="Times New Roman" w:hAnsi="Times New Roman" w:eastAsia="仿宋_GB2312" w:cs="Times New Roman"/>
          <w:b/>
          <w:sz w:val="28"/>
          <w:szCs w:val="28"/>
        </w:rPr>
        <w:t>2</w:t>
      </w:r>
      <w:r>
        <w:rPr>
          <w:rFonts w:ascii="Times New Roman" w:hAnsi="Times New Roman" w:eastAsia="仿宋_GB2312" w:cs="Times New Roman"/>
          <w:b/>
          <w:sz w:val="28"/>
          <w:szCs w:val="28"/>
        </w:rPr>
        <w:t>月</w:t>
      </w:r>
      <w:r>
        <w:rPr>
          <w:rFonts w:hint="eastAsia" w:ascii="Times New Roman" w:hAnsi="Times New Roman" w:eastAsia="仿宋_GB2312" w:cs="Times New Roman"/>
          <w:b/>
          <w:sz w:val="28"/>
          <w:szCs w:val="28"/>
        </w:rPr>
        <w:t>14</w:t>
      </w:r>
      <w:r>
        <w:rPr>
          <w:rFonts w:ascii="Times New Roman" w:hAnsi="Times New Roman" w:eastAsia="仿宋_GB2312" w:cs="Times New Roman"/>
          <w:b/>
          <w:sz w:val="28"/>
          <w:szCs w:val="28"/>
        </w:rPr>
        <w:t>日）</w:t>
      </w:r>
    </w:p>
    <w:p>
      <w:pPr>
        <w:spacing w:line="590" w:lineRule="exact"/>
        <w:ind w:firstLine="560" w:firstLineChars="200"/>
        <w:rPr>
          <w:rFonts w:ascii="仿宋" w:hAnsi="仿宋" w:eastAsia="仿宋" w:cs="仿宋"/>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根据“业会专审[2024]266号”财务管理情况评估报告及本次2024年8月15日至</w:t>
      </w:r>
      <w:r>
        <w:rPr>
          <w:rFonts w:hint="eastAsia" w:ascii="Times New Roman" w:hAnsi="Times New Roman" w:eastAsia="仿宋" w:cs="Times New Roman"/>
          <w:color w:val="000000" w:themeColor="text1"/>
          <w:sz w:val="28"/>
          <w:szCs w:val="28"/>
          <w14:textFill>
            <w14:solidFill>
              <w14:schemeClr w14:val="tx1"/>
            </w14:solidFill>
          </w14:textFill>
        </w:rPr>
        <w:t>2025年2月14日</w:t>
      </w:r>
      <w:r>
        <w:rPr>
          <w:rFonts w:ascii="Times New Roman" w:hAnsi="Times New Roman" w:eastAsia="仿宋" w:cs="Times New Roman"/>
          <w:color w:val="000000" w:themeColor="text1"/>
          <w:sz w:val="28"/>
          <w:szCs w:val="28"/>
          <w14:textFill>
            <w14:solidFill>
              <w14:schemeClr w14:val="tx1"/>
            </w14:solidFill>
          </w14:textFill>
        </w:rPr>
        <w:t>财务管理情况评估，自2019年11月15日起至</w:t>
      </w:r>
      <w:r>
        <w:rPr>
          <w:rFonts w:hint="eastAsia" w:ascii="Times New Roman" w:hAnsi="Times New Roman" w:eastAsia="仿宋" w:cs="Times New Roman"/>
          <w:color w:val="000000" w:themeColor="text1"/>
          <w:sz w:val="28"/>
          <w:szCs w:val="28"/>
          <w14:textFill>
            <w14:solidFill>
              <w14:schemeClr w14:val="tx1"/>
            </w14:solidFill>
          </w14:textFill>
        </w:rPr>
        <w:t>2025年2月14日</w:t>
      </w:r>
      <w:r>
        <w:rPr>
          <w:rFonts w:ascii="Times New Roman" w:hAnsi="Times New Roman" w:eastAsia="仿宋" w:cs="Times New Roman"/>
          <w:color w:val="000000" w:themeColor="text1"/>
          <w:sz w:val="28"/>
          <w:szCs w:val="28"/>
          <w14:textFill>
            <w14:solidFill>
              <w14:schemeClr w14:val="tx1"/>
            </w14:solidFill>
          </w14:textFill>
        </w:rPr>
        <w:t>止，小谷围社工站服务经费累计结余56,815.58元。具体每期结余情况如下：</w:t>
      </w:r>
    </w:p>
    <w:p>
      <w:pPr>
        <w:spacing w:line="590" w:lineRule="exact"/>
        <w:ind w:firstLine="528"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olor w:val="000000" w:themeColor="text1"/>
          <w:spacing w:val="-8"/>
          <w:sz w:val="28"/>
          <w:szCs w:val="28"/>
          <w14:textFill>
            <w14:solidFill>
              <w14:schemeClr w14:val="tx1"/>
            </w14:solidFill>
          </w14:textFill>
        </w:rPr>
        <w:t>㈠</w:t>
      </w:r>
      <w:r>
        <w:rPr>
          <w:rFonts w:ascii="Times New Roman" w:hAnsi="Times New Roman" w:eastAsia="仿宋_GB2312" w:cs="Times New Roman"/>
          <w:color w:val="000000" w:themeColor="text1"/>
          <w:sz w:val="28"/>
          <w:szCs w:val="28"/>
          <w14:textFill>
            <w14:solidFill>
              <w14:schemeClr w14:val="tx1"/>
            </w14:solidFill>
          </w14:textFill>
        </w:rPr>
        <w:t>2019年11月15日至2024年8月14日为小谷围社工站的四年九个月服务周期，其中：</w:t>
      </w:r>
    </w:p>
    <w:p>
      <w:pPr>
        <w:spacing w:line="580" w:lineRule="exact"/>
        <w:ind w:firstLine="512" w:firstLineChars="200"/>
        <w:rPr>
          <w:rFonts w:ascii="Times New Roman" w:hAnsi="Times New Roman" w:eastAsia="仿宋" w:cs="Times New Roman"/>
          <w:color w:val="000000" w:themeColor="text1"/>
          <w:spacing w:val="-12"/>
          <w:sz w:val="28"/>
          <w:szCs w:val="28"/>
          <w14:textFill>
            <w14:solidFill>
              <w14:schemeClr w14:val="tx1"/>
            </w14:solidFill>
          </w14:textFill>
        </w:rPr>
      </w:pPr>
      <w:r>
        <w:rPr>
          <w:rFonts w:ascii="Times New Roman" w:hAnsi="Times New Roman" w:eastAsia="仿宋" w:cs="Times New Roman"/>
          <w:color w:val="000000" w:themeColor="text1"/>
          <w:spacing w:val="-12"/>
          <w:sz w:val="28"/>
          <w:szCs w:val="28"/>
          <w14:textFill>
            <w14:solidFill>
              <w14:schemeClr w14:val="tx1"/>
            </w14:solidFill>
          </w14:textFill>
        </w:rPr>
        <w:t>第一年协议期2019年11月15日至2020年8月14日，结余资金569,317.54元。</w:t>
      </w:r>
    </w:p>
    <w:p>
      <w:pPr>
        <w:spacing w:line="580" w:lineRule="exact"/>
        <w:ind w:firstLine="520" w:firstLineChars="200"/>
        <w:rPr>
          <w:rFonts w:ascii="Times New Roman" w:hAnsi="Times New Roman" w:eastAsia="仿宋" w:cs="Times New Roman"/>
          <w:color w:val="000000" w:themeColor="text1"/>
          <w:spacing w:val="-10"/>
          <w:sz w:val="28"/>
          <w:szCs w:val="28"/>
          <w14:textFill>
            <w14:solidFill>
              <w14:schemeClr w14:val="tx1"/>
            </w14:solidFill>
          </w14:textFill>
        </w:rPr>
      </w:pPr>
      <w:r>
        <w:rPr>
          <w:rFonts w:ascii="Times New Roman" w:hAnsi="Times New Roman" w:eastAsia="仿宋" w:cs="Times New Roman"/>
          <w:color w:val="000000" w:themeColor="text1"/>
          <w:spacing w:val="-10"/>
          <w:sz w:val="28"/>
          <w:szCs w:val="28"/>
          <w14:textFill>
            <w14:solidFill>
              <w14:schemeClr w14:val="tx1"/>
            </w14:solidFill>
          </w14:textFill>
        </w:rPr>
        <w:t>第二年协议期2020年8月15日至2021年8月14日，结余资金-80,281.31元。</w:t>
      </w:r>
    </w:p>
    <w:p>
      <w:pPr>
        <w:spacing w:line="580" w:lineRule="exact"/>
        <w:ind w:firstLine="520" w:firstLineChars="200"/>
        <w:rPr>
          <w:rFonts w:ascii="Times New Roman" w:hAnsi="Times New Roman" w:eastAsia="仿宋" w:cs="Times New Roman"/>
          <w:color w:val="000000" w:themeColor="text1"/>
          <w:spacing w:val="-10"/>
          <w:sz w:val="28"/>
          <w:szCs w:val="28"/>
          <w14:textFill>
            <w14:solidFill>
              <w14:schemeClr w14:val="tx1"/>
            </w14:solidFill>
          </w14:textFill>
        </w:rPr>
      </w:pPr>
      <w:r>
        <w:rPr>
          <w:rFonts w:ascii="Times New Roman" w:hAnsi="Times New Roman" w:eastAsia="仿宋" w:cs="Times New Roman"/>
          <w:color w:val="000000" w:themeColor="text1"/>
          <w:spacing w:val="-10"/>
          <w:sz w:val="28"/>
          <w:szCs w:val="28"/>
          <w14:textFill>
            <w14:solidFill>
              <w14:schemeClr w14:val="tx1"/>
            </w14:solidFill>
          </w14:textFill>
        </w:rPr>
        <w:t>第三年协议期2021年8月15日至2022年9月3日，结余资金-73,120.79元。</w:t>
      </w:r>
    </w:p>
    <w:p>
      <w:pPr>
        <w:spacing w:line="580" w:lineRule="exact"/>
        <w:ind w:firstLine="520" w:firstLineChars="200"/>
        <w:rPr>
          <w:rFonts w:ascii="Times New Roman" w:hAnsi="Times New Roman" w:eastAsia="仿宋" w:cs="Times New Roman"/>
          <w:color w:val="000000" w:themeColor="text1"/>
          <w:spacing w:val="-10"/>
          <w:sz w:val="28"/>
          <w:szCs w:val="28"/>
          <w14:textFill>
            <w14:solidFill>
              <w14:schemeClr w14:val="tx1"/>
            </w14:solidFill>
          </w14:textFill>
        </w:rPr>
      </w:pPr>
      <w:r>
        <w:rPr>
          <w:rFonts w:ascii="Times New Roman" w:hAnsi="Times New Roman" w:eastAsia="仿宋" w:cs="Times New Roman"/>
          <w:color w:val="000000" w:themeColor="text1"/>
          <w:spacing w:val="-10"/>
          <w:sz w:val="28"/>
          <w:szCs w:val="28"/>
          <w14:textFill>
            <w14:solidFill>
              <w14:schemeClr w14:val="tx1"/>
            </w14:solidFill>
          </w14:textFill>
        </w:rPr>
        <w:t>第四年协议期2022年9月4日至2023年9月3日</w:t>
      </w:r>
      <w:r>
        <w:rPr>
          <w:rFonts w:hint="eastAsia" w:ascii="Times New Roman" w:hAnsi="Times New Roman" w:eastAsia="仿宋" w:cs="Times New Roman"/>
          <w:color w:val="000000" w:themeColor="text1"/>
          <w:spacing w:val="-10"/>
          <w:sz w:val="28"/>
          <w:szCs w:val="28"/>
          <w14:textFill>
            <w14:solidFill>
              <w14:schemeClr w14:val="tx1"/>
            </w14:solidFill>
          </w14:textFill>
        </w:rPr>
        <w:t>，</w:t>
      </w:r>
      <w:r>
        <w:rPr>
          <w:rFonts w:ascii="Times New Roman" w:hAnsi="Times New Roman" w:eastAsia="仿宋" w:cs="Times New Roman"/>
          <w:color w:val="000000" w:themeColor="text1"/>
          <w:spacing w:val="-10"/>
          <w:sz w:val="28"/>
          <w:szCs w:val="28"/>
          <w14:textFill>
            <w14:solidFill>
              <w14:schemeClr w14:val="tx1"/>
            </w14:solidFill>
          </w14:textFill>
        </w:rPr>
        <w:t>结余资金元-265,471.89</w:t>
      </w:r>
      <w:r>
        <w:rPr>
          <w:rFonts w:hint="eastAsia" w:ascii="Times New Roman" w:hAnsi="Times New Roman" w:eastAsia="仿宋" w:cs="Times New Roman"/>
          <w:color w:val="000000" w:themeColor="text1"/>
          <w:spacing w:val="-10"/>
          <w:sz w:val="28"/>
          <w:szCs w:val="28"/>
          <w14:textFill>
            <w14:solidFill>
              <w14:schemeClr w14:val="tx1"/>
            </w14:solidFill>
          </w14:textFill>
        </w:rPr>
        <w:t>元</w:t>
      </w:r>
      <w:r>
        <w:rPr>
          <w:rFonts w:ascii="Times New Roman" w:hAnsi="Times New Roman" w:eastAsia="仿宋" w:cs="Times New Roman"/>
          <w:color w:val="000000" w:themeColor="text1"/>
          <w:spacing w:val="-10"/>
          <w:sz w:val="28"/>
          <w:szCs w:val="28"/>
          <w14:textFill>
            <w14:solidFill>
              <w14:schemeClr w14:val="tx1"/>
            </w14:solidFill>
          </w14:textFill>
        </w:rPr>
        <w:t>。</w:t>
      </w:r>
    </w:p>
    <w:p>
      <w:pPr>
        <w:spacing w:line="580" w:lineRule="exact"/>
        <w:ind w:firstLine="544" w:firstLineChars="200"/>
        <w:rPr>
          <w:rFonts w:ascii="Times New Roman" w:hAnsi="Times New Roman" w:eastAsia="仿宋" w:cs="Times New Roman"/>
          <w:color w:val="000000" w:themeColor="text1"/>
          <w:spacing w:val="-4"/>
          <w:sz w:val="28"/>
          <w:szCs w:val="28"/>
          <w14:textFill>
            <w14:solidFill>
              <w14:schemeClr w14:val="tx1"/>
            </w14:solidFill>
          </w14:textFill>
        </w:rPr>
      </w:pPr>
      <w:r>
        <w:rPr>
          <w:rFonts w:ascii="Times New Roman" w:hAnsi="Times New Roman" w:eastAsia="仿宋" w:cs="Times New Roman"/>
          <w:color w:val="000000" w:themeColor="text1"/>
          <w:spacing w:val="-4"/>
          <w:sz w:val="28"/>
          <w:szCs w:val="28"/>
          <w14:textFill>
            <w14:solidFill>
              <w14:schemeClr w14:val="tx1"/>
            </w14:solidFill>
          </w14:textFill>
        </w:rPr>
        <w:t>第五年协议期2023年9月4日至2024年8月14日，结余金额6,672.08元。</w:t>
      </w:r>
    </w:p>
    <w:p>
      <w:pPr>
        <w:spacing w:line="59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㈡2024年8月15日至2027年8月14日为小谷围社工站的三年服务周期，其中：</w:t>
      </w:r>
    </w:p>
    <w:p>
      <w:pPr>
        <w:spacing w:line="59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本评估期2024年8月15日至2025年</w:t>
      </w:r>
      <w:r>
        <w:rPr>
          <w:rFonts w:hint="eastAsia" w:ascii="Times New Roman" w:hAnsi="Times New Roman" w:eastAsia="仿宋" w:cs="Times New Roman"/>
          <w:color w:val="000000" w:themeColor="text1"/>
          <w:sz w:val="28"/>
          <w:szCs w:val="28"/>
          <w14:textFill>
            <w14:solidFill>
              <w14:schemeClr w14:val="tx1"/>
            </w14:solidFill>
          </w14:textFill>
        </w:rPr>
        <w:t>2</w:t>
      </w:r>
      <w:r>
        <w:rPr>
          <w:rFonts w:ascii="Times New Roman" w:hAnsi="Times New Roman" w:eastAsia="仿宋" w:cs="Times New Roman"/>
          <w:color w:val="000000" w:themeColor="text1"/>
          <w:sz w:val="28"/>
          <w:szCs w:val="28"/>
          <w14:textFill>
            <w14:solidFill>
              <w14:schemeClr w14:val="tx1"/>
            </w14:solidFill>
          </w14:textFill>
        </w:rPr>
        <w:t>月</w:t>
      </w:r>
      <w:r>
        <w:rPr>
          <w:rFonts w:hint="eastAsia" w:ascii="Times New Roman" w:hAnsi="Times New Roman" w:eastAsia="仿宋" w:cs="Times New Roman"/>
          <w:color w:val="000000" w:themeColor="text1"/>
          <w:sz w:val="28"/>
          <w:szCs w:val="28"/>
          <w14:textFill>
            <w14:solidFill>
              <w14:schemeClr w14:val="tx1"/>
            </w14:solidFill>
          </w14:textFill>
        </w:rPr>
        <w:t>14</w:t>
      </w:r>
      <w:r>
        <w:rPr>
          <w:rFonts w:ascii="Times New Roman" w:hAnsi="Times New Roman" w:eastAsia="仿宋" w:cs="Times New Roman"/>
          <w:color w:val="000000" w:themeColor="text1"/>
          <w:sz w:val="28"/>
          <w:szCs w:val="28"/>
          <w14:textFill>
            <w14:solidFill>
              <w14:schemeClr w14:val="tx1"/>
            </w14:solidFill>
          </w14:textFill>
        </w:rPr>
        <w:t>日，结余资金-100,300.05 元。</w:t>
      </w:r>
    </w:p>
    <w:p>
      <w:pPr>
        <w:spacing w:line="620" w:lineRule="exact"/>
        <w:ind w:right="-569" w:rightChars="-271"/>
        <w:outlineLvl w:val="0"/>
        <w:rPr>
          <w:rFonts w:ascii="Times New Roman" w:hAnsi="Times New Roman" w:eastAsia="仿宋_GB2312" w:cs="Times New Roman"/>
          <w:sz w:val="28"/>
          <w:szCs w:val="28"/>
        </w:rPr>
      </w:pPr>
      <w:r>
        <w:rPr>
          <w:rFonts w:hint="eastAsia" w:ascii="Times New Roman" w:hAnsi="Times New Roman" w:eastAsia="仿宋_GB2312" w:cs="Times New Roman"/>
          <w:b/>
          <w:sz w:val="28"/>
          <w:szCs w:val="28"/>
        </w:rPr>
        <w:t>九</w:t>
      </w:r>
      <w:r>
        <w:rPr>
          <w:rFonts w:ascii="Times New Roman" w:hAnsi="Times New Roman" w:eastAsia="仿宋_GB2312" w:cs="Times New Roman"/>
          <w:b/>
          <w:sz w:val="28"/>
          <w:szCs w:val="28"/>
        </w:rPr>
        <w:t>、评估结论</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经上述审核评估，我们认为广州市番禺区小谷围街社工服务站本次财务评估等级为：合格。</w:t>
      </w:r>
    </w:p>
    <w:p>
      <w:pPr>
        <w:spacing w:line="60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十</w:t>
      </w:r>
      <w:r>
        <w:rPr>
          <w:rFonts w:ascii="Times New Roman" w:hAnsi="Times New Roman" w:eastAsia="仿宋_GB2312" w:cs="Times New Roman"/>
          <w:b/>
          <w:sz w:val="28"/>
          <w:szCs w:val="28"/>
        </w:rPr>
        <w:t>、其他事项</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color w:val="000000" w:themeColor="text1"/>
          <w:sz w:val="28"/>
          <w:szCs w:val="28"/>
          <w14:textFill>
            <w14:solidFill>
              <w14:schemeClr w14:val="tx1"/>
            </w14:solidFill>
          </w14:textFill>
        </w:rPr>
        <w:t>本报告仅供本次委托目的，即对小谷围社工站财务评估使用，本事务所及本注册会计师不对运用本报告于其他目的造成的经济后果负责。</w:t>
      </w:r>
    </w:p>
    <w:p>
      <w:pPr>
        <w:spacing w:line="600" w:lineRule="exact"/>
        <w:rPr>
          <w:rFonts w:ascii="Times New Roman" w:hAnsi="Times New Roman" w:eastAsia="仿宋_GB2312" w:cs="Times New Roman"/>
          <w:b/>
          <w:bCs/>
          <w:sz w:val="28"/>
          <w:szCs w:val="28"/>
        </w:rPr>
      </w:pPr>
    </w:p>
    <w:p>
      <w:pPr>
        <w:spacing w:line="600" w:lineRule="exact"/>
        <w:rPr>
          <w:rFonts w:ascii="Times New Roman" w:hAnsi="Times New Roman" w:eastAsia="仿宋_GB2312" w:cs="Times New Roman"/>
          <w:sz w:val="28"/>
          <w:szCs w:val="28"/>
        </w:rPr>
      </w:pPr>
    </w:p>
    <w:p>
      <w:pPr>
        <w:spacing w:line="600" w:lineRule="exact"/>
        <w:rPr>
          <w:rFonts w:ascii="Times New Roman" w:hAnsi="Times New Roman" w:eastAsia="仿宋_GB2312" w:cs="Times New Roman"/>
          <w:sz w:val="28"/>
          <w:szCs w:val="28"/>
        </w:rPr>
      </w:pPr>
    </w:p>
    <w:p>
      <w:pPr>
        <w:spacing w:line="600" w:lineRule="exact"/>
        <w:ind w:left="850" w:leftChars="405"/>
        <w:rPr>
          <w:rFonts w:ascii="Times New Roman" w:hAnsi="Times New Roman" w:eastAsia="仿宋_GB2312" w:cs="Times New Roman"/>
          <w:sz w:val="28"/>
          <w:szCs w:val="28"/>
        </w:rPr>
      </w:pPr>
    </w:p>
    <w:tbl>
      <w:tblPr>
        <w:tblStyle w:val="8"/>
        <w:tblW w:w="9346" w:type="dxa"/>
        <w:tblInd w:w="122" w:type="dxa"/>
        <w:tblLayout w:type="autofit"/>
        <w:tblCellMar>
          <w:top w:w="0" w:type="dxa"/>
          <w:left w:w="108" w:type="dxa"/>
          <w:bottom w:w="0" w:type="dxa"/>
          <w:right w:w="108" w:type="dxa"/>
        </w:tblCellMar>
      </w:tblPr>
      <w:tblGrid>
        <w:gridCol w:w="4482"/>
        <w:gridCol w:w="246"/>
        <w:gridCol w:w="4618"/>
      </w:tblGrid>
      <w:tr>
        <w:tblPrEx>
          <w:tblCellMar>
            <w:top w:w="0" w:type="dxa"/>
            <w:left w:w="108" w:type="dxa"/>
            <w:bottom w:w="0" w:type="dxa"/>
            <w:right w:w="108" w:type="dxa"/>
          </w:tblCellMar>
        </w:tblPrEx>
        <w:tc>
          <w:tcPr>
            <w:tcW w:w="4482" w:type="dxa"/>
          </w:tcPr>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30"/>
                <w14:textFill>
                  <w14:solidFill>
                    <w14:schemeClr w14:val="tx1"/>
                  </w14:solidFill>
                </w14:textFill>
              </w:rPr>
              <w:t>广州业勤会计师事务所有限公司</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广州·番禺</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jc w:val="center"/>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二</w:t>
            </w:r>
            <w:r>
              <w:rPr>
                <w:rFonts w:ascii="Times New Roman" w:hAnsi="Times New Roman" w:eastAsia="宋体" w:cs="Times New Roman"/>
                <w:b/>
                <w:color w:val="000000" w:themeColor="text1"/>
                <w:sz w:val="28"/>
                <w14:textFill>
                  <w14:solidFill>
                    <w14:schemeClr w14:val="tx1"/>
                  </w14:solidFill>
                </w14:textFill>
              </w:rPr>
              <w:t>〇</w:t>
            </w:r>
            <w:r>
              <w:rPr>
                <w:rFonts w:ascii="Times New Roman" w:hAnsi="Times New Roman" w:eastAsia="华文新魏" w:cs="Times New Roman"/>
                <w:b/>
                <w:color w:val="000000" w:themeColor="text1"/>
                <w:sz w:val="28"/>
                <w14:textFill>
                  <w14:solidFill>
                    <w14:schemeClr w14:val="tx1"/>
                  </w14:solidFill>
                </w14:textFill>
              </w:rPr>
              <w:t>二</w:t>
            </w:r>
            <w:r>
              <w:rPr>
                <w:rFonts w:hint="eastAsia" w:ascii="Times New Roman" w:hAnsi="Times New Roman" w:eastAsia="华文新魏" w:cs="Times New Roman"/>
                <w:b/>
                <w:color w:val="000000" w:themeColor="text1"/>
                <w:sz w:val="28"/>
                <w14:textFill>
                  <w14:solidFill>
                    <w14:schemeClr w14:val="tx1"/>
                  </w14:solidFill>
                </w14:textFill>
              </w:rPr>
              <w:t>五</w:t>
            </w:r>
            <w:r>
              <w:rPr>
                <w:rFonts w:ascii="Times New Roman" w:hAnsi="Times New Roman" w:eastAsia="华文新魏" w:cs="Times New Roman"/>
                <w:b/>
                <w:color w:val="000000" w:themeColor="text1"/>
                <w:sz w:val="28"/>
                <w14:textFill>
                  <w14:solidFill>
                    <w14:schemeClr w14:val="tx1"/>
                  </w14:solidFill>
                </w14:textFill>
              </w:rPr>
              <w:t>年</w:t>
            </w:r>
            <w:r>
              <w:rPr>
                <w:rFonts w:hint="eastAsia" w:ascii="Times New Roman" w:hAnsi="Times New Roman" w:eastAsia="华文新魏" w:cs="Times New Roman"/>
                <w:b/>
                <w:color w:val="000000" w:themeColor="text1"/>
                <w:sz w:val="28"/>
                <w14:textFill>
                  <w14:solidFill>
                    <w14:schemeClr w14:val="tx1"/>
                  </w14:solidFill>
                </w14:textFill>
              </w:rPr>
              <w:t>四</w:t>
            </w:r>
            <w:r>
              <w:rPr>
                <w:rFonts w:ascii="Times New Roman" w:hAnsi="Times New Roman" w:eastAsia="华文新魏" w:cs="Times New Roman"/>
                <w:b/>
                <w:color w:val="000000" w:themeColor="text1"/>
                <w:sz w:val="28"/>
                <w14:textFill>
                  <w14:solidFill>
                    <w14:schemeClr w14:val="tx1"/>
                  </w14:solidFill>
                </w14:textFill>
              </w:rPr>
              <w:t>月</w:t>
            </w:r>
            <w:r>
              <w:rPr>
                <w:rFonts w:hint="eastAsia" w:ascii="Times New Roman" w:hAnsi="Times New Roman" w:eastAsia="华文新魏" w:cs="Times New Roman"/>
                <w:b/>
                <w:color w:val="000000" w:themeColor="text1"/>
                <w:sz w:val="28"/>
                <w14:textFill>
                  <w14:solidFill>
                    <w14:schemeClr w14:val="tx1"/>
                  </w14:solidFill>
                </w14:textFill>
              </w:rPr>
              <w:t>二十二</w:t>
            </w:r>
            <w:r>
              <w:rPr>
                <w:rFonts w:ascii="Times New Roman" w:hAnsi="Times New Roman" w:eastAsia="华文新魏" w:cs="Times New Roman"/>
                <w:b/>
                <w:color w:val="000000" w:themeColor="text1"/>
                <w:sz w:val="28"/>
                <w14:textFill>
                  <w14:solidFill>
                    <w14:schemeClr w14:val="tx1"/>
                  </w14:solidFill>
                </w14:textFill>
              </w:rPr>
              <w:t>日</w:t>
            </w:r>
          </w:p>
        </w:tc>
        <w:tc>
          <w:tcPr>
            <w:tcW w:w="246" w:type="dxa"/>
          </w:tcPr>
          <w:p>
            <w:pPr>
              <w:spacing w:line="560" w:lineRule="exact"/>
              <w:ind w:right="-6"/>
              <w:rPr>
                <w:rFonts w:ascii="Times New Roman" w:hAnsi="Times New Roman" w:eastAsia="华文新魏" w:cs="Times New Roman"/>
                <w:sz w:val="28"/>
                <w:szCs w:val="28"/>
              </w:rPr>
            </w:pPr>
          </w:p>
        </w:tc>
        <w:tc>
          <w:tcPr>
            <w:tcW w:w="4618" w:type="dxa"/>
          </w:tcPr>
          <w:p>
            <w:pPr>
              <w:spacing w:line="320" w:lineRule="exact"/>
              <w:rPr>
                <w:rFonts w:ascii="Times New Roman" w:hAnsi="Times New Roman"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w:t>
            </w:r>
            <w:r>
              <w:rPr>
                <w:rFonts w:ascii="Times New Roman" w:hAnsi="Times New Roman" w:eastAsia="华文新魏" w:cs="Times New Roman"/>
                <w:b/>
                <w:color w:val="000000" w:themeColor="text1"/>
                <w:sz w:val="28"/>
                <w:szCs w:val="28"/>
                <w14:textFill>
                  <w14:solidFill>
                    <w14:schemeClr w14:val="tx1"/>
                  </w14:solidFill>
                </w14:textFill>
              </w:rPr>
              <w:t>项目负责人</w:t>
            </w:r>
            <w:r>
              <w:rPr>
                <w:rFonts w:ascii="Times New Roman" w:hAnsi="Times New Roman" w:eastAsia="仿宋" w:cs="Times New Roman"/>
                <w:b/>
                <w:color w:val="000000" w:themeColor="text1"/>
                <w:sz w:val="28"/>
                <w:szCs w:val="28"/>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left="84"/>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tc>
      </w:tr>
    </w:tbl>
    <w:p>
      <w:pPr>
        <w:spacing w:line="20" w:lineRule="exact"/>
        <w:rPr>
          <w:rFonts w:ascii="Times New Roman" w:hAnsi="Times New Roman" w:eastAsia="仿宋_GB2312" w:cs="Times New Roman"/>
          <w:sz w:val="28"/>
          <w:szCs w:val="28"/>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公文小&lt;">
    <w:panose1 w:val="02010609010101010101"/>
    <w:charset w:val="86"/>
    <w:family w:val="auto"/>
    <w:pitch w:val="default"/>
    <w:sig w:usb0="00000000" w:usb1="00000000" w:usb2="00000000" w:usb3="00000000" w:csb0="20160004" w:csb1="001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855839"/>
    </w:sdtPr>
    <w:sdtContent>
      <w:p>
        <w:pPr>
          <w:pStyle w:val="5"/>
          <w:jc w:val="center"/>
        </w:pPr>
        <w:r>
          <w:fldChar w:fldCharType="begin"/>
        </w:r>
        <w:r>
          <w:instrText xml:space="preserve">PAGE   \* MERGEFORMAT</w:instrText>
        </w:r>
        <w:r>
          <w:fldChar w:fldCharType="separate"/>
        </w:r>
        <w:r>
          <w:rPr>
            <w:lang w:val="zh-CN"/>
          </w:rPr>
          <w:t>8</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F825A7"/>
    <w:multiLevelType w:val="singleLevel"/>
    <w:tmpl w:val="70F825A7"/>
    <w:lvl w:ilvl="0" w:tentative="0">
      <w:start w:val="1"/>
      <w:numFmt w:val="decimalFullWidth"/>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7B"/>
    <w:rsid w:val="00001862"/>
    <w:rsid w:val="0000408A"/>
    <w:rsid w:val="00011264"/>
    <w:rsid w:val="0002755A"/>
    <w:rsid w:val="000317CE"/>
    <w:rsid w:val="00032744"/>
    <w:rsid w:val="0003344C"/>
    <w:rsid w:val="0003532C"/>
    <w:rsid w:val="00041B6A"/>
    <w:rsid w:val="00043872"/>
    <w:rsid w:val="00053983"/>
    <w:rsid w:val="00055B05"/>
    <w:rsid w:val="00056EE9"/>
    <w:rsid w:val="0006463F"/>
    <w:rsid w:val="00064B63"/>
    <w:rsid w:val="00065A6C"/>
    <w:rsid w:val="00071FB1"/>
    <w:rsid w:val="00073645"/>
    <w:rsid w:val="00081914"/>
    <w:rsid w:val="00097DB9"/>
    <w:rsid w:val="000A488D"/>
    <w:rsid w:val="000B5517"/>
    <w:rsid w:val="000B62CD"/>
    <w:rsid w:val="000D31B5"/>
    <w:rsid w:val="000D6402"/>
    <w:rsid w:val="000E00E1"/>
    <w:rsid w:val="000F0011"/>
    <w:rsid w:val="000F0440"/>
    <w:rsid w:val="000F4F6B"/>
    <w:rsid w:val="000F6697"/>
    <w:rsid w:val="00101D5C"/>
    <w:rsid w:val="00102433"/>
    <w:rsid w:val="00110769"/>
    <w:rsid w:val="0011480E"/>
    <w:rsid w:val="00121ED1"/>
    <w:rsid w:val="0012230B"/>
    <w:rsid w:val="00133E77"/>
    <w:rsid w:val="001370D5"/>
    <w:rsid w:val="00141B82"/>
    <w:rsid w:val="00141E48"/>
    <w:rsid w:val="0014748D"/>
    <w:rsid w:val="001524AE"/>
    <w:rsid w:val="0015779A"/>
    <w:rsid w:val="0016124C"/>
    <w:rsid w:val="00161623"/>
    <w:rsid w:val="00164A86"/>
    <w:rsid w:val="0016508D"/>
    <w:rsid w:val="00165130"/>
    <w:rsid w:val="00171040"/>
    <w:rsid w:val="00172280"/>
    <w:rsid w:val="001839F4"/>
    <w:rsid w:val="00185C33"/>
    <w:rsid w:val="00191F3C"/>
    <w:rsid w:val="001973EB"/>
    <w:rsid w:val="001A70D8"/>
    <w:rsid w:val="001A795B"/>
    <w:rsid w:val="001B0C80"/>
    <w:rsid w:val="001B2890"/>
    <w:rsid w:val="001B2BB1"/>
    <w:rsid w:val="001C0CBF"/>
    <w:rsid w:val="001E0431"/>
    <w:rsid w:val="001E07B0"/>
    <w:rsid w:val="001E2299"/>
    <w:rsid w:val="001E3968"/>
    <w:rsid w:val="001E6903"/>
    <w:rsid w:val="001E73AE"/>
    <w:rsid w:val="001F6520"/>
    <w:rsid w:val="001F72D5"/>
    <w:rsid w:val="00200AB0"/>
    <w:rsid w:val="00202633"/>
    <w:rsid w:val="002146CD"/>
    <w:rsid w:val="002243A8"/>
    <w:rsid w:val="00225676"/>
    <w:rsid w:val="00233335"/>
    <w:rsid w:val="0023759D"/>
    <w:rsid w:val="00237B72"/>
    <w:rsid w:val="00240EE3"/>
    <w:rsid w:val="002454FC"/>
    <w:rsid w:val="00262365"/>
    <w:rsid w:val="002626C2"/>
    <w:rsid w:val="002647B9"/>
    <w:rsid w:val="00265F2A"/>
    <w:rsid w:val="00266A11"/>
    <w:rsid w:val="00266CEA"/>
    <w:rsid w:val="0027383E"/>
    <w:rsid w:val="00273BCE"/>
    <w:rsid w:val="00275A76"/>
    <w:rsid w:val="002844B6"/>
    <w:rsid w:val="002845EB"/>
    <w:rsid w:val="00286B33"/>
    <w:rsid w:val="002A000C"/>
    <w:rsid w:val="002A5C66"/>
    <w:rsid w:val="002A7C06"/>
    <w:rsid w:val="002C6261"/>
    <w:rsid w:val="002C758E"/>
    <w:rsid w:val="002E0308"/>
    <w:rsid w:val="002E1BD7"/>
    <w:rsid w:val="002E1C51"/>
    <w:rsid w:val="002E4330"/>
    <w:rsid w:val="0030249E"/>
    <w:rsid w:val="0030480B"/>
    <w:rsid w:val="0030717C"/>
    <w:rsid w:val="00312000"/>
    <w:rsid w:val="00320181"/>
    <w:rsid w:val="0032080E"/>
    <w:rsid w:val="00323877"/>
    <w:rsid w:val="003318A3"/>
    <w:rsid w:val="00331C3E"/>
    <w:rsid w:val="00331E74"/>
    <w:rsid w:val="00341215"/>
    <w:rsid w:val="003422DD"/>
    <w:rsid w:val="00344B95"/>
    <w:rsid w:val="00347270"/>
    <w:rsid w:val="0035269F"/>
    <w:rsid w:val="00374A71"/>
    <w:rsid w:val="00387479"/>
    <w:rsid w:val="0039097A"/>
    <w:rsid w:val="003B2BC5"/>
    <w:rsid w:val="003B3AEB"/>
    <w:rsid w:val="003D5458"/>
    <w:rsid w:val="003E3835"/>
    <w:rsid w:val="003E56B4"/>
    <w:rsid w:val="003E667B"/>
    <w:rsid w:val="003F2D93"/>
    <w:rsid w:val="004042D8"/>
    <w:rsid w:val="00410E86"/>
    <w:rsid w:val="00415C4F"/>
    <w:rsid w:val="00416891"/>
    <w:rsid w:val="00427E8F"/>
    <w:rsid w:val="004356BB"/>
    <w:rsid w:val="00441B0C"/>
    <w:rsid w:val="00446547"/>
    <w:rsid w:val="00456844"/>
    <w:rsid w:val="00456A81"/>
    <w:rsid w:val="00457F11"/>
    <w:rsid w:val="004639CE"/>
    <w:rsid w:val="00467F29"/>
    <w:rsid w:val="004727E9"/>
    <w:rsid w:val="00481251"/>
    <w:rsid w:val="004849B7"/>
    <w:rsid w:val="00491F7D"/>
    <w:rsid w:val="004B2146"/>
    <w:rsid w:val="004B266C"/>
    <w:rsid w:val="004B44D4"/>
    <w:rsid w:val="004B69E8"/>
    <w:rsid w:val="004B7044"/>
    <w:rsid w:val="004C2255"/>
    <w:rsid w:val="004E2951"/>
    <w:rsid w:val="004E4A37"/>
    <w:rsid w:val="004F1B7D"/>
    <w:rsid w:val="004F3EF0"/>
    <w:rsid w:val="0050140C"/>
    <w:rsid w:val="00510E05"/>
    <w:rsid w:val="005147E9"/>
    <w:rsid w:val="00516189"/>
    <w:rsid w:val="00521B04"/>
    <w:rsid w:val="00525CAD"/>
    <w:rsid w:val="0052700D"/>
    <w:rsid w:val="0053169B"/>
    <w:rsid w:val="005363DD"/>
    <w:rsid w:val="005442C3"/>
    <w:rsid w:val="0054626A"/>
    <w:rsid w:val="00546E36"/>
    <w:rsid w:val="00550D9E"/>
    <w:rsid w:val="005627A6"/>
    <w:rsid w:val="00562C6B"/>
    <w:rsid w:val="005631D2"/>
    <w:rsid w:val="00563632"/>
    <w:rsid w:val="005708A7"/>
    <w:rsid w:val="00572760"/>
    <w:rsid w:val="0057312B"/>
    <w:rsid w:val="00583524"/>
    <w:rsid w:val="00594D45"/>
    <w:rsid w:val="005B1BE8"/>
    <w:rsid w:val="005C4C36"/>
    <w:rsid w:val="005C6036"/>
    <w:rsid w:val="005C7CB0"/>
    <w:rsid w:val="005D085A"/>
    <w:rsid w:val="005D2D76"/>
    <w:rsid w:val="005D65B4"/>
    <w:rsid w:val="005E06D8"/>
    <w:rsid w:val="005E48DD"/>
    <w:rsid w:val="005F164C"/>
    <w:rsid w:val="005F32C5"/>
    <w:rsid w:val="005F35CE"/>
    <w:rsid w:val="005F52F8"/>
    <w:rsid w:val="005F5FE2"/>
    <w:rsid w:val="005F6D4D"/>
    <w:rsid w:val="005F74CF"/>
    <w:rsid w:val="00602725"/>
    <w:rsid w:val="00602BB4"/>
    <w:rsid w:val="006073BF"/>
    <w:rsid w:val="00610693"/>
    <w:rsid w:val="0061653C"/>
    <w:rsid w:val="00620D20"/>
    <w:rsid w:val="006260D3"/>
    <w:rsid w:val="00632C66"/>
    <w:rsid w:val="00633E4B"/>
    <w:rsid w:val="00646319"/>
    <w:rsid w:val="00653BBB"/>
    <w:rsid w:val="00655B2F"/>
    <w:rsid w:val="00675A60"/>
    <w:rsid w:val="00683341"/>
    <w:rsid w:val="006845F1"/>
    <w:rsid w:val="00696135"/>
    <w:rsid w:val="006B0BCE"/>
    <w:rsid w:val="006C49BA"/>
    <w:rsid w:val="006C65EA"/>
    <w:rsid w:val="006D0434"/>
    <w:rsid w:val="006D1CA1"/>
    <w:rsid w:val="006D4950"/>
    <w:rsid w:val="006E0100"/>
    <w:rsid w:val="006E21E8"/>
    <w:rsid w:val="006E4926"/>
    <w:rsid w:val="006F0C97"/>
    <w:rsid w:val="006F3914"/>
    <w:rsid w:val="006F3969"/>
    <w:rsid w:val="007032DF"/>
    <w:rsid w:val="0070572C"/>
    <w:rsid w:val="00710A61"/>
    <w:rsid w:val="007173BB"/>
    <w:rsid w:val="00721CB2"/>
    <w:rsid w:val="007340D0"/>
    <w:rsid w:val="0074347B"/>
    <w:rsid w:val="00745A2F"/>
    <w:rsid w:val="00746338"/>
    <w:rsid w:val="00747433"/>
    <w:rsid w:val="0075737E"/>
    <w:rsid w:val="00761C7D"/>
    <w:rsid w:val="00771D21"/>
    <w:rsid w:val="007926ED"/>
    <w:rsid w:val="007927E1"/>
    <w:rsid w:val="007A3244"/>
    <w:rsid w:val="007A5A98"/>
    <w:rsid w:val="007B5343"/>
    <w:rsid w:val="007B7796"/>
    <w:rsid w:val="007B7949"/>
    <w:rsid w:val="007C64F6"/>
    <w:rsid w:val="007D695E"/>
    <w:rsid w:val="007D7166"/>
    <w:rsid w:val="007E2480"/>
    <w:rsid w:val="007E7FBA"/>
    <w:rsid w:val="00802451"/>
    <w:rsid w:val="0080471D"/>
    <w:rsid w:val="00807BA7"/>
    <w:rsid w:val="00807BE3"/>
    <w:rsid w:val="00810A07"/>
    <w:rsid w:val="00812620"/>
    <w:rsid w:val="0082062E"/>
    <w:rsid w:val="00822EFC"/>
    <w:rsid w:val="00824AE7"/>
    <w:rsid w:val="008321FE"/>
    <w:rsid w:val="00833371"/>
    <w:rsid w:val="00841B2D"/>
    <w:rsid w:val="008475C0"/>
    <w:rsid w:val="00852D37"/>
    <w:rsid w:val="00854AAD"/>
    <w:rsid w:val="00855127"/>
    <w:rsid w:val="0085513B"/>
    <w:rsid w:val="00856263"/>
    <w:rsid w:val="00856883"/>
    <w:rsid w:val="0086051F"/>
    <w:rsid w:val="00860FBE"/>
    <w:rsid w:val="00870E18"/>
    <w:rsid w:val="008760FC"/>
    <w:rsid w:val="00883C29"/>
    <w:rsid w:val="0088606E"/>
    <w:rsid w:val="008942DD"/>
    <w:rsid w:val="00896102"/>
    <w:rsid w:val="00897C30"/>
    <w:rsid w:val="00897D40"/>
    <w:rsid w:val="008A2A7D"/>
    <w:rsid w:val="008A5ADF"/>
    <w:rsid w:val="008A7A03"/>
    <w:rsid w:val="008B15E5"/>
    <w:rsid w:val="008B7EF7"/>
    <w:rsid w:val="008C3543"/>
    <w:rsid w:val="008C56DE"/>
    <w:rsid w:val="008C7615"/>
    <w:rsid w:val="008C7B77"/>
    <w:rsid w:val="008D1DB3"/>
    <w:rsid w:val="008D477E"/>
    <w:rsid w:val="008D549A"/>
    <w:rsid w:val="008E0B3B"/>
    <w:rsid w:val="008E490E"/>
    <w:rsid w:val="008E6127"/>
    <w:rsid w:val="008F0DDF"/>
    <w:rsid w:val="009005D9"/>
    <w:rsid w:val="00903490"/>
    <w:rsid w:val="00905374"/>
    <w:rsid w:val="009064EB"/>
    <w:rsid w:val="00907484"/>
    <w:rsid w:val="0092209C"/>
    <w:rsid w:val="00926A47"/>
    <w:rsid w:val="00933CB6"/>
    <w:rsid w:val="009367AD"/>
    <w:rsid w:val="0094095E"/>
    <w:rsid w:val="00943A6F"/>
    <w:rsid w:val="0094449E"/>
    <w:rsid w:val="009452F8"/>
    <w:rsid w:val="00952099"/>
    <w:rsid w:val="00953A03"/>
    <w:rsid w:val="0095423D"/>
    <w:rsid w:val="0095703D"/>
    <w:rsid w:val="009613FE"/>
    <w:rsid w:val="0096190D"/>
    <w:rsid w:val="00965531"/>
    <w:rsid w:val="009759AE"/>
    <w:rsid w:val="00975FDD"/>
    <w:rsid w:val="009816F9"/>
    <w:rsid w:val="0099451A"/>
    <w:rsid w:val="00997BCF"/>
    <w:rsid w:val="009A0C80"/>
    <w:rsid w:val="009A2387"/>
    <w:rsid w:val="009A7747"/>
    <w:rsid w:val="009B4F13"/>
    <w:rsid w:val="009C3790"/>
    <w:rsid w:val="009C3CCD"/>
    <w:rsid w:val="009C6946"/>
    <w:rsid w:val="00A02EAF"/>
    <w:rsid w:val="00A15DDD"/>
    <w:rsid w:val="00A21C64"/>
    <w:rsid w:val="00A25727"/>
    <w:rsid w:val="00A411C8"/>
    <w:rsid w:val="00A42F36"/>
    <w:rsid w:val="00A43D5E"/>
    <w:rsid w:val="00A44649"/>
    <w:rsid w:val="00A459DD"/>
    <w:rsid w:val="00A62367"/>
    <w:rsid w:val="00A66FCD"/>
    <w:rsid w:val="00A67BD5"/>
    <w:rsid w:val="00A67D24"/>
    <w:rsid w:val="00A74220"/>
    <w:rsid w:val="00A9361A"/>
    <w:rsid w:val="00A9437D"/>
    <w:rsid w:val="00A95270"/>
    <w:rsid w:val="00AA19DE"/>
    <w:rsid w:val="00AA275E"/>
    <w:rsid w:val="00AA681D"/>
    <w:rsid w:val="00AC58BD"/>
    <w:rsid w:val="00AC5C43"/>
    <w:rsid w:val="00AC65FD"/>
    <w:rsid w:val="00AD624A"/>
    <w:rsid w:val="00AD7854"/>
    <w:rsid w:val="00AE0771"/>
    <w:rsid w:val="00AE18D0"/>
    <w:rsid w:val="00AE285D"/>
    <w:rsid w:val="00AE3E25"/>
    <w:rsid w:val="00AF0139"/>
    <w:rsid w:val="00AF5169"/>
    <w:rsid w:val="00B246FE"/>
    <w:rsid w:val="00B27A0F"/>
    <w:rsid w:val="00B3292D"/>
    <w:rsid w:val="00B41E70"/>
    <w:rsid w:val="00B45DD2"/>
    <w:rsid w:val="00B45FAC"/>
    <w:rsid w:val="00B47376"/>
    <w:rsid w:val="00B55A3F"/>
    <w:rsid w:val="00B61767"/>
    <w:rsid w:val="00B634BC"/>
    <w:rsid w:val="00B66EF3"/>
    <w:rsid w:val="00B71517"/>
    <w:rsid w:val="00B73D8A"/>
    <w:rsid w:val="00B761C1"/>
    <w:rsid w:val="00B777DB"/>
    <w:rsid w:val="00B86605"/>
    <w:rsid w:val="00B9463E"/>
    <w:rsid w:val="00B94C44"/>
    <w:rsid w:val="00BA4475"/>
    <w:rsid w:val="00BB6453"/>
    <w:rsid w:val="00BC27F3"/>
    <w:rsid w:val="00BC46BE"/>
    <w:rsid w:val="00BC7ED9"/>
    <w:rsid w:val="00BD2F47"/>
    <w:rsid w:val="00BD6115"/>
    <w:rsid w:val="00BE22A5"/>
    <w:rsid w:val="00BE37CD"/>
    <w:rsid w:val="00BE4354"/>
    <w:rsid w:val="00BE4B22"/>
    <w:rsid w:val="00BE62D2"/>
    <w:rsid w:val="00BF4C48"/>
    <w:rsid w:val="00C02AF0"/>
    <w:rsid w:val="00C03042"/>
    <w:rsid w:val="00C033D6"/>
    <w:rsid w:val="00C10D35"/>
    <w:rsid w:val="00C2086D"/>
    <w:rsid w:val="00C22583"/>
    <w:rsid w:val="00C23D3A"/>
    <w:rsid w:val="00C25182"/>
    <w:rsid w:val="00C41CDC"/>
    <w:rsid w:val="00C41DD8"/>
    <w:rsid w:val="00C46491"/>
    <w:rsid w:val="00C50F29"/>
    <w:rsid w:val="00C61FF5"/>
    <w:rsid w:val="00C7566B"/>
    <w:rsid w:val="00C81C71"/>
    <w:rsid w:val="00CA5005"/>
    <w:rsid w:val="00CC094B"/>
    <w:rsid w:val="00CC7FE9"/>
    <w:rsid w:val="00CD2143"/>
    <w:rsid w:val="00CD3721"/>
    <w:rsid w:val="00CD408C"/>
    <w:rsid w:val="00CD5E58"/>
    <w:rsid w:val="00CD60B2"/>
    <w:rsid w:val="00CD62D5"/>
    <w:rsid w:val="00CE08B9"/>
    <w:rsid w:val="00D0409C"/>
    <w:rsid w:val="00D10308"/>
    <w:rsid w:val="00D144A2"/>
    <w:rsid w:val="00D17CC5"/>
    <w:rsid w:val="00D21D72"/>
    <w:rsid w:val="00D22C6A"/>
    <w:rsid w:val="00D24776"/>
    <w:rsid w:val="00D275F8"/>
    <w:rsid w:val="00D32C3A"/>
    <w:rsid w:val="00D348FD"/>
    <w:rsid w:val="00D36925"/>
    <w:rsid w:val="00D40ACE"/>
    <w:rsid w:val="00D44BFD"/>
    <w:rsid w:val="00D47C2A"/>
    <w:rsid w:val="00D51A02"/>
    <w:rsid w:val="00D752C9"/>
    <w:rsid w:val="00D76704"/>
    <w:rsid w:val="00D77A77"/>
    <w:rsid w:val="00D82197"/>
    <w:rsid w:val="00D86161"/>
    <w:rsid w:val="00D867E3"/>
    <w:rsid w:val="00D93807"/>
    <w:rsid w:val="00D945A2"/>
    <w:rsid w:val="00D97736"/>
    <w:rsid w:val="00DA02C1"/>
    <w:rsid w:val="00DA287A"/>
    <w:rsid w:val="00DB02C4"/>
    <w:rsid w:val="00DD1165"/>
    <w:rsid w:val="00DD4EA7"/>
    <w:rsid w:val="00DD7F0F"/>
    <w:rsid w:val="00DE2776"/>
    <w:rsid w:val="00DE38B1"/>
    <w:rsid w:val="00DE69C7"/>
    <w:rsid w:val="00DF02A5"/>
    <w:rsid w:val="00E1694E"/>
    <w:rsid w:val="00E21B1D"/>
    <w:rsid w:val="00E2471E"/>
    <w:rsid w:val="00E25337"/>
    <w:rsid w:val="00E3181F"/>
    <w:rsid w:val="00E31E66"/>
    <w:rsid w:val="00E42764"/>
    <w:rsid w:val="00E47125"/>
    <w:rsid w:val="00E54144"/>
    <w:rsid w:val="00E56A70"/>
    <w:rsid w:val="00E57618"/>
    <w:rsid w:val="00E57C7F"/>
    <w:rsid w:val="00E61107"/>
    <w:rsid w:val="00E612B7"/>
    <w:rsid w:val="00E70D75"/>
    <w:rsid w:val="00E72E37"/>
    <w:rsid w:val="00E762BE"/>
    <w:rsid w:val="00E851CE"/>
    <w:rsid w:val="00E86E25"/>
    <w:rsid w:val="00E9452F"/>
    <w:rsid w:val="00EA6F18"/>
    <w:rsid w:val="00EB53BC"/>
    <w:rsid w:val="00EC0150"/>
    <w:rsid w:val="00EC35AE"/>
    <w:rsid w:val="00EC54BC"/>
    <w:rsid w:val="00EC60F4"/>
    <w:rsid w:val="00ED03C6"/>
    <w:rsid w:val="00ED03D7"/>
    <w:rsid w:val="00ED40AB"/>
    <w:rsid w:val="00EE58C3"/>
    <w:rsid w:val="00EF35A0"/>
    <w:rsid w:val="00EF6A6C"/>
    <w:rsid w:val="00EF7ACF"/>
    <w:rsid w:val="00F055B8"/>
    <w:rsid w:val="00F12621"/>
    <w:rsid w:val="00F14556"/>
    <w:rsid w:val="00F1624D"/>
    <w:rsid w:val="00F20D27"/>
    <w:rsid w:val="00F25686"/>
    <w:rsid w:val="00F25D1D"/>
    <w:rsid w:val="00F279E8"/>
    <w:rsid w:val="00F31B05"/>
    <w:rsid w:val="00F3637E"/>
    <w:rsid w:val="00F36B85"/>
    <w:rsid w:val="00F52AB6"/>
    <w:rsid w:val="00F537EB"/>
    <w:rsid w:val="00F549A2"/>
    <w:rsid w:val="00F66AC5"/>
    <w:rsid w:val="00F801CF"/>
    <w:rsid w:val="00F82D47"/>
    <w:rsid w:val="00F87BD4"/>
    <w:rsid w:val="00F971D2"/>
    <w:rsid w:val="00FA1C78"/>
    <w:rsid w:val="00FB2E0B"/>
    <w:rsid w:val="00FB6DAA"/>
    <w:rsid w:val="00FD3E88"/>
    <w:rsid w:val="00FD45C2"/>
    <w:rsid w:val="00FD57FA"/>
    <w:rsid w:val="00FF0E1A"/>
    <w:rsid w:val="00FF2A48"/>
    <w:rsid w:val="01536131"/>
    <w:rsid w:val="02AB78A7"/>
    <w:rsid w:val="03FB03BA"/>
    <w:rsid w:val="0425797D"/>
    <w:rsid w:val="05681A7F"/>
    <w:rsid w:val="05C313AC"/>
    <w:rsid w:val="08183C31"/>
    <w:rsid w:val="0BE34556"/>
    <w:rsid w:val="0C122745"/>
    <w:rsid w:val="0CA73E00"/>
    <w:rsid w:val="0D725B91"/>
    <w:rsid w:val="0E3E5A73"/>
    <w:rsid w:val="106A0DA2"/>
    <w:rsid w:val="121511E1"/>
    <w:rsid w:val="12D70244"/>
    <w:rsid w:val="14E86739"/>
    <w:rsid w:val="15C745A0"/>
    <w:rsid w:val="17D251E4"/>
    <w:rsid w:val="182B350C"/>
    <w:rsid w:val="18C64FE3"/>
    <w:rsid w:val="19B17A41"/>
    <w:rsid w:val="1A9829AF"/>
    <w:rsid w:val="1CC45CDD"/>
    <w:rsid w:val="1D167BBB"/>
    <w:rsid w:val="1E432C32"/>
    <w:rsid w:val="246833F2"/>
    <w:rsid w:val="24B16B47"/>
    <w:rsid w:val="26CA0394"/>
    <w:rsid w:val="27906EE8"/>
    <w:rsid w:val="29451F54"/>
    <w:rsid w:val="299407E6"/>
    <w:rsid w:val="2B043774"/>
    <w:rsid w:val="2C1A1476"/>
    <w:rsid w:val="2E20089A"/>
    <w:rsid w:val="2E220AB6"/>
    <w:rsid w:val="2EE63891"/>
    <w:rsid w:val="309061AB"/>
    <w:rsid w:val="31097D0B"/>
    <w:rsid w:val="31126BC0"/>
    <w:rsid w:val="326A47D9"/>
    <w:rsid w:val="337E053C"/>
    <w:rsid w:val="338D077F"/>
    <w:rsid w:val="35B93AAE"/>
    <w:rsid w:val="35BC534C"/>
    <w:rsid w:val="36EC7EB3"/>
    <w:rsid w:val="379E11AD"/>
    <w:rsid w:val="394E31FA"/>
    <w:rsid w:val="39F8091D"/>
    <w:rsid w:val="3D6C3AFB"/>
    <w:rsid w:val="3DA94525"/>
    <w:rsid w:val="3FFB1E2E"/>
    <w:rsid w:val="40E35B04"/>
    <w:rsid w:val="41B25855"/>
    <w:rsid w:val="440920A4"/>
    <w:rsid w:val="447A4D50"/>
    <w:rsid w:val="44817E8C"/>
    <w:rsid w:val="46EE732F"/>
    <w:rsid w:val="485F6737"/>
    <w:rsid w:val="48FF5824"/>
    <w:rsid w:val="4A0B1FA6"/>
    <w:rsid w:val="4A233794"/>
    <w:rsid w:val="4A8F2BD7"/>
    <w:rsid w:val="4B0C4228"/>
    <w:rsid w:val="4B46598C"/>
    <w:rsid w:val="4C6205A3"/>
    <w:rsid w:val="4F035942"/>
    <w:rsid w:val="50700DB5"/>
    <w:rsid w:val="51BF3DA2"/>
    <w:rsid w:val="53095C1D"/>
    <w:rsid w:val="532E7431"/>
    <w:rsid w:val="53620E89"/>
    <w:rsid w:val="53B042EA"/>
    <w:rsid w:val="54EA55DA"/>
    <w:rsid w:val="56170651"/>
    <w:rsid w:val="5640122A"/>
    <w:rsid w:val="5765719A"/>
    <w:rsid w:val="57A31A70"/>
    <w:rsid w:val="5AF620A7"/>
    <w:rsid w:val="5B2335F4"/>
    <w:rsid w:val="5B7C4AB2"/>
    <w:rsid w:val="5C043425"/>
    <w:rsid w:val="5C5872CD"/>
    <w:rsid w:val="5CB564CD"/>
    <w:rsid w:val="5D184CAE"/>
    <w:rsid w:val="608763D3"/>
    <w:rsid w:val="60F670B5"/>
    <w:rsid w:val="63750765"/>
    <w:rsid w:val="64287ECD"/>
    <w:rsid w:val="65AB66C0"/>
    <w:rsid w:val="66326DE1"/>
    <w:rsid w:val="667473F9"/>
    <w:rsid w:val="67825B46"/>
    <w:rsid w:val="68E1064A"/>
    <w:rsid w:val="6905399E"/>
    <w:rsid w:val="698A0CE2"/>
    <w:rsid w:val="6A8E65B0"/>
    <w:rsid w:val="6ADC556D"/>
    <w:rsid w:val="6B086C9C"/>
    <w:rsid w:val="6B607F4C"/>
    <w:rsid w:val="6D7B2E1B"/>
    <w:rsid w:val="6E70494A"/>
    <w:rsid w:val="6F993A2D"/>
    <w:rsid w:val="70B054D2"/>
    <w:rsid w:val="70D6480D"/>
    <w:rsid w:val="72F86CBC"/>
    <w:rsid w:val="73CF3EC1"/>
    <w:rsid w:val="782B18E2"/>
    <w:rsid w:val="797352EE"/>
    <w:rsid w:val="7CB71996"/>
    <w:rsid w:val="7D5B4A17"/>
    <w:rsid w:val="7E2412AD"/>
    <w:rsid w:val="7E355268"/>
    <w:rsid w:val="7F405C73"/>
    <w:rsid w:val="7F6000C3"/>
    <w:rsid w:val="7FBA3C77"/>
    <w:rsid w:val="FFDF2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link w:val="14"/>
    <w:qFormat/>
    <w:uiPriority w:val="0"/>
    <w:pPr>
      <w:spacing w:line="240" w:lineRule="exact"/>
      <w:ind w:left="1050" w:leftChars="500"/>
    </w:pPr>
    <w:rPr>
      <w:rFonts w:ascii="Times New Roman" w:hAnsi="Times New Roman" w:eastAsia="宋体" w:cs="Times New Roman"/>
      <w:sz w:val="18"/>
    </w:rPr>
  </w:style>
  <w:style w:type="paragraph" w:styleId="4">
    <w:name w:val="Balloon Text"/>
    <w:basedOn w:val="1"/>
    <w:link w:val="18"/>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character" w:styleId="10">
    <w:name w:val="annotation reference"/>
    <w:basedOn w:val="9"/>
    <w:qFormat/>
    <w:uiPriority w:val="0"/>
    <w:rPr>
      <w:sz w:val="21"/>
      <w:szCs w:val="21"/>
    </w:rPr>
  </w:style>
  <w:style w:type="paragraph" w:styleId="11">
    <w:name w:val="List Paragraph"/>
    <w:basedOn w:val="1"/>
    <w:qFormat/>
    <w:uiPriority w:val="99"/>
    <w:pPr>
      <w:ind w:firstLine="420" w:firstLineChars="200"/>
    </w:pPr>
  </w:style>
  <w:style w:type="character" w:customStyle="1" w:styleId="12">
    <w:name w:val="页眉 Char"/>
    <w:basedOn w:val="9"/>
    <w:link w:val="6"/>
    <w:qFormat/>
    <w:uiPriority w:val="99"/>
    <w:rPr>
      <w:rFonts w:asciiTheme="minorHAnsi" w:hAnsiTheme="minorHAnsi" w:eastAsiaTheme="minorEastAsia" w:cstheme="minorBidi"/>
      <w:kern w:val="2"/>
      <w:sz w:val="18"/>
      <w:szCs w:val="18"/>
    </w:rPr>
  </w:style>
  <w:style w:type="character" w:customStyle="1" w:styleId="13">
    <w:name w:val="页脚 Char"/>
    <w:basedOn w:val="9"/>
    <w:link w:val="5"/>
    <w:qFormat/>
    <w:uiPriority w:val="99"/>
    <w:rPr>
      <w:rFonts w:asciiTheme="minorHAnsi" w:hAnsiTheme="minorHAnsi" w:eastAsiaTheme="minorEastAsia" w:cstheme="minorBidi"/>
      <w:kern w:val="2"/>
      <w:sz w:val="18"/>
      <w:szCs w:val="18"/>
    </w:rPr>
  </w:style>
  <w:style w:type="character" w:customStyle="1" w:styleId="14">
    <w:name w:val="正文文本缩进 Char"/>
    <w:basedOn w:val="9"/>
    <w:link w:val="3"/>
    <w:qFormat/>
    <w:uiPriority w:val="0"/>
    <w:rPr>
      <w:kern w:val="2"/>
      <w:sz w:val="18"/>
      <w:szCs w:val="24"/>
    </w:rPr>
  </w:style>
  <w:style w:type="character" w:customStyle="1" w:styleId="15">
    <w:name w:val="批注文字 Char"/>
    <w:basedOn w:val="9"/>
    <w:link w:val="2"/>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7"/>
    <w:qFormat/>
    <w:uiPriority w:val="0"/>
    <w:rPr>
      <w:rFonts w:asciiTheme="minorHAnsi" w:hAnsiTheme="minorHAnsi" w:eastAsiaTheme="minorEastAsia" w:cstheme="minorBidi"/>
      <w:b/>
      <w:bCs/>
      <w:kern w:val="2"/>
      <w:sz w:val="21"/>
      <w:szCs w:val="24"/>
    </w:rPr>
  </w:style>
  <w:style w:type="paragraph" w:customStyle="1" w:styleId="17">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754</Words>
  <Characters>4298</Characters>
  <Lines>35</Lines>
  <Paragraphs>10</Paragraphs>
  <TotalTime>237</TotalTime>
  <ScaleCrop>false</ScaleCrop>
  <LinksUpToDate>false</LinksUpToDate>
  <CharactersWithSpaces>5042</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2022-08-25T22:40:00Z</dcterms:created>
  <dc:creator>Dumpling</dc:creator>
  <cp:lastModifiedBy>彭裕惠</cp:lastModifiedBy>
  <cp:lastPrinted>2025-04-24T23:20:00Z</cp:lastPrinted>
  <dcterms:modified xsi:type="dcterms:W3CDTF">2025-06-09T10:42:54Z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9C4A0AF97EFC4AA29DBB3AEF03FB0F09</vt:lpwstr>
  </property>
  <property fmtid="{D5CDD505-2E9C-101B-9397-08002B2CF9AE}" pid="4" name="KSOTemplateDocerSaveRecord">
    <vt:lpwstr>eyJoZGlkIjoiNDBlMTk3MWMyYTJhM2JiZWEwODcyNGRhNWQyMDM4MmIiLCJ1c2VySWQiOiI2MTIxNDE5OTUifQ==</vt:lpwstr>
  </property>
</Properties>
</file>