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7CC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vertAlign w:val="baseline"/>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vertAlign w:val="baseline"/>
        </w:rPr>
        <w:t>广州市发展和改革委员会等6部门关于印发广州市公共文化设施收费管理办法的通知</w:t>
      </w:r>
    </w:p>
    <w:bookmarkEnd w:id="0"/>
    <w:p w14:paraId="1474FA1C"/>
    <w:p w14:paraId="3E2B32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穗发改规字〔2025〕1号</w:t>
      </w:r>
    </w:p>
    <w:p w14:paraId="19ED20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rPr>
          <w:u w:val="none"/>
        </w:rPr>
      </w:pPr>
    </w:p>
    <w:p w14:paraId="1CCBE8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各区发展改革局、文化广电旅游体育局、教育局、财政局、市场监管局：</w:t>
      </w:r>
    </w:p>
    <w:p w14:paraId="4A6520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《广州市公共文化设施收费管理办法》业经市政府同意，现印发给你们，请遵照执行。</w:t>
      </w:r>
    </w:p>
    <w:p w14:paraId="1C628D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p>
    <w:p w14:paraId="16D5ED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广州市发展和改革委员会 </w:t>
      </w:r>
      <w:r>
        <w:rPr>
          <w:rFonts w:hint="eastAsia" w:ascii="仿宋_GB2312" w:hAnsi="仿宋_GB2312" w:eastAsia="仿宋_GB2312" w:cs="仿宋_GB2312"/>
          <w:i w:val="0"/>
          <w:iCs w:val="0"/>
          <w:caps w:val="0"/>
          <w:color w:val="000000"/>
          <w:spacing w:val="0"/>
          <w:sz w:val="32"/>
          <w:szCs w:val="32"/>
          <w:u w:val="none"/>
          <w:bdr w:val="none" w:color="auto" w:sz="0" w:space="0"/>
          <w:vertAlign w:val="baseline"/>
          <w:lang w:val="en-US" w:eastAsia="zh-CN"/>
        </w:rPr>
        <w:t xml:space="preserve">       </w:t>
      </w: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广州市文化广电旅游局</w:t>
      </w:r>
    </w:p>
    <w:p w14:paraId="6C5603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lang w:eastAsia="zh-CN"/>
        </w:rPr>
      </w:pPr>
    </w:p>
    <w:p w14:paraId="767623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lang w:eastAsia="zh-CN"/>
        </w:rPr>
      </w:pPr>
    </w:p>
    <w:p w14:paraId="181D85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lang w:eastAsia="zh-CN"/>
        </w:rPr>
      </w:pPr>
    </w:p>
    <w:p w14:paraId="3B55A3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 xml:space="preserve">广州市体育局      </w:t>
      </w:r>
      <w:r>
        <w:rPr>
          <w:rFonts w:hint="eastAsia" w:ascii="仿宋_GB2312" w:hAnsi="仿宋_GB2312" w:eastAsia="仿宋_GB2312" w:cs="仿宋_GB2312"/>
          <w:i w:val="0"/>
          <w:iCs w:val="0"/>
          <w:caps w:val="0"/>
          <w:color w:val="000000"/>
          <w:spacing w:val="0"/>
          <w:sz w:val="32"/>
          <w:szCs w:val="32"/>
          <w:u w:val="none"/>
          <w:bdr w:val="none" w:color="auto" w:sz="0" w:space="0"/>
          <w:vertAlign w:val="baseline"/>
          <w:lang w:val="en-US" w:eastAsia="zh-CN"/>
        </w:rPr>
        <w:t xml:space="preserve">             </w:t>
      </w: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 xml:space="preserve">广州市教育局      </w:t>
      </w:r>
    </w:p>
    <w:p w14:paraId="0EA32F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p>
    <w:p w14:paraId="21F4DA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p>
    <w:p w14:paraId="6D7A73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p>
    <w:p w14:paraId="349DB1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u w:val="none"/>
          <w:bdr w:val="none" w:color="auto" w:sz="0" w:space="0"/>
          <w:vertAlign w:val="baseline"/>
        </w:rPr>
      </w:pP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 xml:space="preserve">广州市财政局      </w:t>
      </w:r>
      <w:r>
        <w:rPr>
          <w:rFonts w:hint="eastAsia" w:ascii="仿宋_GB2312" w:hAnsi="仿宋_GB2312" w:eastAsia="仿宋_GB2312" w:cs="仿宋_GB2312"/>
          <w:i w:val="0"/>
          <w:iCs w:val="0"/>
          <w:caps w:val="0"/>
          <w:color w:val="000000"/>
          <w:spacing w:val="0"/>
          <w:sz w:val="32"/>
          <w:szCs w:val="32"/>
          <w:u w:val="none"/>
          <w:bdr w:val="none" w:color="auto" w:sz="0" w:space="0"/>
          <w:vertAlign w:val="baseline"/>
          <w:lang w:val="en-US" w:eastAsia="zh-CN"/>
        </w:rPr>
        <w:t xml:space="preserve">         </w:t>
      </w: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广州市市场监督管理局</w:t>
      </w:r>
    </w:p>
    <w:p w14:paraId="124AAA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vertAlign w:val="baseline"/>
          <w:lang w:val="en-US" w:eastAsia="zh-CN"/>
        </w:rPr>
        <w:t xml:space="preserve">                       </w:t>
      </w: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2025年3月28日</w:t>
      </w:r>
    </w:p>
    <w:p w14:paraId="7102F1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baseline"/>
        <w:rPr>
          <w:rFonts w:hint="eastAsia" w:ascii="仿宋_GB2312" w:hAnsi="仿宋_GB2312" w:eastAsia="仿宋_GB2312" w:cs="仿宋_GB2312"/>
          <w:u w:val="none"/>
        </w:rPr>
      </w:pPr>
    </w:p>
    <w:p w14:paraId="4AB151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baseline"/>
        <w:rPr>
          <w:rFonts w:hint="eastAsia" w:ascii="仿宋_GB2312" w:hAnsi="仿宋_GB2312" w:eastAsia="仿宋_GB2312" w:cs="仿宋_GB2312"/>
          <w:u w:val="none"/>
        </w:rPr>
      </w:pPr>
    </w:p>
    <w:p w14:paraId="0C2B4D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u w:val="none"/>
        </w:rPr>
      </w:pPr>
    </w:p>
    <w:p w14:paraId="687A98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b w:val="0"/>
          <w:bCs w:val="0"/>
          <w:sz w:val="44"/>
          <w:szCs w:val="44"/>
          <w:u w:val="none"/>
        </w:rPr>
      </w:pPr>
      <w:r>
        <w:rPr>
          <w:rStyle w:val="8"/>
          <w:rFonts w:hint="eastAsia" w:ascii="方正小标宋简体" w:hAnsi="方正小标宋简体" w:eastAsia="方正小标宋简体" w:cs="方正小标宋简体"/>
          <w:b w:val="0"/>
          <w:bCs w:val="0"/>
          <w:i w:val="0"/>
          <w:iCs w:val="0"/>
          <w:caps w:val="0"/>
          <w:color w:val="000000"/>
          <w:spacing w:val="0"/>
          <w:sz w:val="44"/>
          <w:szCs w:val="44"/>
          <w:u w:val="none"/>
          <w:bdr w:val="none" w:color="auto" w:sz="0" w:space="0"/>
          <w:vertAlign w:val="baseline"/>
        </w:rPr>
        <w:t>广州市公共文化设施收费管理办法</w:t>
      </w:r>
    </w:p>
    <w:p w14:paraId="5D0C69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eastAsia" w:ascii="仿宋_GB2312" w:hAnsi="仿宋_GB2312" w:eastAsia="仿宋_GB2312" w:cs="仿宋_GB2312"/>
          <w:sz w:val="32"/>
          <w:szCs w:val="32"/>
          <w:u w:val="none"/>
        </w:rPr>
      </w:pPr>
    </w:p>
    <w:p w14:paraId="53EDD2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黑体" w:hAnsi="黑体" w:eastAsia="黑体" w:cs="黑体"/>
          <w:b w:val="0"/>
          <w:bCs w:val="0"/>
          <w:sz w:val="32"/>
          <w:szCs w:val="32"/>
          <w:u w:val="none"/>
        </w:rPr>
      </w:pPr>
      <w:r>
        <w:rPr>
          <w:rStyle w:val="8"/>
          <w:rFonts w:hint="eastAsia" w:ascii="黑体" w:hAnsi="黑体" w:eastAsia="黑体" w:cs="黑体"/>
          <w:b w:val="0"/>
          <w:bCs w:val="0"/>
          <w:i w:val="0"/>
          <w:iCs w:val="0"/>
          <w:caps w:val="0"/>
          <w:color w:val="000000"/>
          <w:spacing w:val="0"/>
          <w:sz w:val="32"/>
          <w:szCs w:val="32"/>
          <w:u w:val="none"/>
          <w:bdr w:val="none" w:color="auto" w:sz="0" w:space="0"/>
          <w:vertAlign w:val="baseline"/>
        </w:rPr>
        <w:t>第一章 总则</w:t>
      </w:r>
    </w:p>
    <w:p w14:paraId="269094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第一条  </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为进一步规范公共文化设施收费行为，优化公共文化设施服务供给，提升公共文化设施服务水平，更好满足人民群众多样化、多层次、多方面的精神文化需求，根据国家、省关于价格管理和公共文化服务保障的有关规定，结合本市实际，制定本办法。</w:t>
      </w:r>
    </w:p>
    <w:p w14:paraId="41B188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第二条  </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本市行政区域内公共文化设施收费管理适用本办法。</w:t>
      </w:r>
    </w:p>
    <w:p w14:paraId="4B9762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学校体育设施收费管理参照本办法执行。</w:t>
      </w:r>
    </w:p>
    <w:p w14:paraId="593870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第三条  </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本办法所称公共文化设施是指用于提供公共文化服务的建筑物、场地和设备，主要包括：</w:t>
      </w:r>
    </w:p>
    <w:p w14:paraId="7CC20D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（一）公共图书馆、文化馆、博物馆（纪念馆）、美术馆、非物质文化遗产馆、科技馆；</w:t>
      </w:r>
    </w:p>
    <w:p w14:paraId="63D5BC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（二）工人文化宫、青少年宫、妇女儿童活动中心、老年人活动中心；</w:t>
      </w:r>
    </w:p>
    <w:p w14:paraId="5D437B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（三）乡镇（街道）综合文化站、村（社区）综合性文化服务中心、城乡公共文化新空间及其他履行同类职能的基层公共文化设施；</w:t>
      </w:r>
    </w:p>
    <w:p w14:paraId="54CE88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（四）公共体育场馆；</w:t>
      </w:r>
    </w:p>
    <w:p w14:paraId="559C3A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（五）法律、法规规定的其他公共文化设施。</w:t>
      </w:r>
    </w:p>
    <w:p w14:paraId="560FFF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第四条  </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本办法所称的公共文化设施业务主管部门（以下简称“业务主管部门”）是指按照职责分工，对相应设施进行监督管理的各级行政部门或群团组织。</w:t>
      </w:r>
    </w:p>
    <w:p w14:paraId="1EFB33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本办法所称的公共文化设施管理单位（以下简称“管理单位”）是指负责设施管理和维护，为公众开展公共文化活动提供服务的社会公共文化机构。委托第三方机构运营的，以委托方作为管理单位。</w:t>
      </w:r>
    </w:p>
    <w:p w14:paraId="6B76B7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第五条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公共文化设施收费坚持公共文化设施的公益属性，坚持社会效益优先、免费或者优惠原则，按照服务类型实行分类收费，有效保障人民群众基本文化权益，满足人民群众精神文化生活需要。</w:t>
      </w:r>
    </w:p>
    <w:p w14:paraId="5E06AE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rPr>
          <w:rFonts w:hint="eastAsia" w:ascii="仿宋_GB2312" w:hAnsi="仿宋_GB2312" w:eastAsia="仿宋_GB2312" w:cs="仿宋_GB2312"/>
          <w:sz w:val="32"/>
          <w:szCs w:val="32"/>
          <w:u w:val="none"/>
        </w:rPr>
      </w:pPr>
    </w:p>
    <w:p w14:paraId="518164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黑体" w:hAnsi="黑体" w:eastAsia="黑体" w:cs="黑体"/>
          <w:b w:val="0"/>
          <w:bCs w:val="0"/>
          <w:sz w:val="32"/>
          <w:szCs w:val="32"/>
          <w:u w:val="none"/>
        </w:rPr>
      </w:pPr>
      <w:r>
        <w:rPr>
          <w:rStyle w:val="8"/>
          <w:rFonts w:hint="eastAsia" w:ascii="黑体" w:hAnsi="黑体" w:eastAsia="黑体" w:cs="黑体"/>
          <w:b w:val="0"/>
          <w:bCs w:val="0"/>
          <w:i w:val="0"/>
          <w:iCs w:val="0"/>
          <w:caps w:val="0"/>
          <w:color w:val="000000"/>
          <w:spacing w:val="0"/>
          <w:sz w:val="32"/>
          <w:szCs w:val="32"/>
          <w:u w:val="none"/>
          <w:bdr w:val="none" w:color="auto" w:sz="0" w:space="0"/>
          <w:vertAlign w:val="baseline"/>
        </w:rPr>
        <w:t>第二章 免费或优惠情形</w:t>
      </w:r>
    </w:p>
    <w:p w14:paraId="7A243D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第六条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国家、省相关法律、法规、规章规定应当免费，以及广州市基本公共文化服务标准明确应当免费开放的公共文化设施及免费提供的服务项目，不得收取费用。</w:t>
      </w:r>
    </w:p>
    <w:p w14:paraId="009C82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第七条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有条件的公共体育场馆应当免费或低收费开放，并严格落实全民健身基本公共服务标准和公共体育场馆基本服务规范的有关要求。</w:t>
      </w:r>
    </w:p>
    <w:p w14:paraId="4CC822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第八条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若公共文化设施受委托交给第三方机构运营，受托的第三方运营机构应当按照法律法规规定履行责任，不得对应当免费开放的公共文化设施、免费提供的服务进行收费或变相收费。</w:t>
      </w:r>
    </w:p>
    <w:p w14:paraId="6B011E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rPr>
          <w:rFonts w:hint="eastAsia" w:ascii="仿宋_GB2312" w:hAnsi="仿宋_GB2312" w:eastAsia="仿宋_GB2312" w:cs="仿宋_GB2312"/>
          <w:sz w:val="32"/>
          <w:szCs w:val="32"/>
          <w:u w:val="none"/>
        </w:rPr>
      </w:pPr>
    </w:p>
    <w:p w14:paraId="74F262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黑体" w:hAnsi="黑体" w:eastAsia="黑体" w:cs="黑体"/>
          <w:b w:val="0"/>
          <w:bCs w:val="0"/>
          <w:sz w:val="32"/>
          <w:szCs w:val="32"/>
          <w:u w:val="none"/>
        </w:rPr>
      </w:pPr>
      <w:r>
        <w:rPr>
          <w:rStyle w:val="8"/>
          <w:rFonts w:hint="eastAsia" w:ascii="黑体" w:hAnsi="黑体" w:eastAsia="黑体" w:cs="黑体"/>
          <w:b w:val="0"/>
          <w:bCs w:val="0"/>
          <w:i w:val="0"/>
          <w:iCs w:val="0"/>
          <w:caps w:val="0"/>
          <w:color w:val="000000"/>
          <w:spacing w:val="0"/>
          <w:sz w:val="32"/>
          <w:szCs w:val="32"/>
          <w:u w:val="none"/>
          <w:bdr w:val="none" w:color="auto" w:sz="0" w:space="0"/>
          <w:vertAlign w:val="baseline"/>
        </w:rPr>
        <w:t>第三章 收费原则</w:t>
      </w:r>
    </w:p>
    <w:p w14:paraId="43F9AF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第九条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在坚持公共文化设施公益性、确保基本公共文化服务有效供给的基础上，为推动公共文化设施可持续发展，满足公民多样化、个性化、品质化的更高层次文化需求，公共文化设施开放及提供相关服务可收取相关费用。</w:t>
      </w:r>
    </w:p>
    <w:p w14:paraId="63F6B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第十条  </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政府投资建设的公共文化设施，在保障基本公共文化服务的基础上，根据其提供的服务类型和性质，分别实行政府指导价和市场调节价：</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br w:type="textWrapping"/>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（一）公共文化设施提供的设施开放、非学科类培训，以及展示展览、文艺演出、沉浸式体验等临时活动，实行政府指导价。</w:t>
      </w:r>
    </w:p>
    <w:p w14:paraId="714F60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二）依托公共文化设施提供的轻食餐饮、会议服务、设备租借等辅助性服务；导览讲解、文化活动策划、文创及体育产品销售、文物（艺术品）保护修复、用于非研究用途的数字资源授权等与公共文化设施功能相适应的服务，实行市场调节价。</w:t>
      </w:r>
    </w:p>
    <w:p w14:paraId="1303C2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第十一条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非政府投资建设的公共文化设施，其开放或提供相关服务收费，实行市场调节价。</w:t>
      </w:r>
    </w:p>
    <w:p w14:paraId="579EA7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rPr>
          <w:rFonts w:hint="eastAsia" w:ascii="仿宋_GB2312" w:hAnsi="仿宋_GB2312" w:eastAsia="仿宋_GB2312" w:cs="仿宋_GB2312"/>
          <w:sz w:val="32"/>
          <w:szCs w:val="32"/>
          <w:u w:val="none"/>
        </w:rPr>
      </w:pPr>
    </w:p>
    <w:p w14:paraId="49823F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黑体" w:hAnsi="黑体" w:eastAsia="黑体" w:cs="黑体"/>
          <w:b w:val="0"/>
          <w:bCs w:val="0"/>
          <w:sz w:val="32"/>
          <w:szCs w:val="32"/>
          <w:u w:val="none"/>
        </w:rPr>
      </w:pPr>
      <w:r>
        <w:rPr>
          <w:rStyle w:val="8"/>
          <w:rFonts w:hint="eastAsia" w:ascii="黑体" w:hAnsi="黑体" w:eastAsia="黑体" w:cs="黑体"/>
          <w:b w:val="0"/>
          <w:bCs w:val="0"/>
          <w:i w:val="0"/>
          <w:iCs w:val="0"/>
          <w:caps w:val="0"/>
          <w:color w:val="000000"/>
          <w:spacing w:val="0"/>
          <w:sz w:val="32"/>
          <w:szCs w:val="32"/>
          <w:u w:val="none"/>
          <w:bdr w:val="none" w:color="auto" w:sz="0" w:space="0"/>
          <w:vertAlign w:val="baseline"/>
        </w:rPr>
        <w:t>第四章 收费行为</w:t>
      </w:r>
    </w:p>
    <w:p w14:paraId="4F6414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第十二条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政府指导价采取价格上限管理方式，本办法附件规定的收费标准最高可上浮20%，下浮不限。在此范围内，管理单位可根据市场供求状况自主确定具体价格水平。</w:t>
      </w:r>
    </w:p>
    <w:p w14:paraId="693027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第十三条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实行政府指导价管理的公共文化设施收费，确因成本较高或未纳入附件收费项目清单需单独申请核定价格的，管理单位应根据第三方出具的专项审计报告进行严格的成本核算，经同级业务主管部门审核并出具明确意见后，提请市发展改革部门核定具体价格。</w:t>
      </w:r>
    </w:p>
    <w:p w14:paraId="731A7B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第十四条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实行市场调节价管理的公共文化设施收费，由管理单位根据实际成本、运营情况、社会承受力等因素自行合理确定收费标准。</w:t>
      </w:r>
    </w:p>
    <w:p w14:paraId="430BAA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第十五条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公共文化设施收费管理单位应当严格执行明码标价规定，在其显著位置公示相应公共文化设施的收费类型、项目名称、收费标准、服务内容、优惠政策、价格监督举报电话等信息。</w:t>
      </w:r>
    </w:p>
    <w:p w14:paraId="6C0862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第十六条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政府投资建设的公共文化设施收费应当按照国家、省、市有关规定，严格落实针对各类特殊人群的减免和优惠政策，维护公众合法权益。鼓励非政府投资建设的公共文化设施对特殊人群实行优惠。</w:t>
      </w:r>
    </w:p>
    <w:p w14:paraId="78F052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第十七条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发展改革部门负责制定公共文化设施收费管理的政策文件，明确相关领域收费的政府指导价，统筹协调公共文化设施收费的综合管理服务工作。</w:t>
      </w:r>
    </w:p>
    <w:p w14:paraId="28FCA5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第十八条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财政部门负责在资金方面对纳入业务主管部门预算的基本公共文化服务予以保障，对非税收入的征收、入库、支出和财政票据使用情况进行监督，并指导社会力量参与公共文化设施运营的资产管理、资金使用等相关工作。</w:t>
      </w:r>
    </w:p>
    <w:p w14:paraId="001E95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第十九条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业务主管部门负责制定本领域公共文化设施与社会力量合作的标准规范和工作指南，加强对社会参与方的监督管理；指导管理单位做好信息公示工作，对本领域公共文化设施收费项目、收费行为、收费标准等进行跟踪监测，评估公共文化设施运营成本变化、服务水平、收支状况等，形成年度评估报告并抄送同级发展改革部门。</w:t>
      </w:r>
    </w:p>
    <w:p w14:paraId="3C1F24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文化旅游、体育部门负责会同相关部门，按分工分别制定本领域公共文化设施目录、基本公共文化服务标准，并向社会公示。</w:t>
      </w:r>
    </w:p>
    <w:p w14:paraId="5B1844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教育部门负责制定向社会开放的学校体育设施目录，明确具体开放时段、优惠政策等内容，并向社会公示。</w:t>
      </w:r>
    </w:p>
    <w:p w14:paraId="09B95F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第二十条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市场监管部门负责对管理单位的价格行为进行监督检查，对价格违法行为依法予以查处。</w:t>
      </w:r>
    </w:p>
    <w:p w14:paraId="04999A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第二十一条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管理单位通过收费取得的收入，应当用于设施的维护、管理和事业发展，并严格落实财务管理的相关规定。</w:t>
      </w:r>
    </w:p>
    <w:p w14:paraId="13AFC3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rPr>
          <w:rFonts w:hint="eastAsia" w:ascii="仿宋_GB2312" w:hAnsi="仿宋_GB2312" w:eastAsia="仿宋_GB2312" w:cs="仿宋_GB2312"/>
          <w:sz w:val="32"/>
          <w:szCs w:val="32"/>
          <w:u w:val="none"/>
        </w:rPr>
      </w:pPr>
    </w:p>
    <w:p w14:paraId="1658FE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黑体" w:hAnsi="黑体" w:eastAsia="黑体" w:cs="黑体"/>
          <w:b w:val="0"/>
          <w:bCs w:val="0"/>
          <w:sz w:val="32"/>
          <w:szCs w:val="32"/>
          <w:u w:val="none"/>
        </w:rPr>
      </w:pPr>
      <w:r>
        <w:rPr>
          <w:rStyle w:val="8"/>
          <w:rFonts w:hint="eastAsia" w:ascii="黑体" w:hAnsi="黑体" w:eastAsia="黑体" w:cs="黑体"/>
          <w:b w:val="0"/>
          <w:bCs w:val="0"/>
          <w:i w:val="0"/>
          <w:iCs w:val="0"/>
          <w:caps w:val="0"/>
          <w:color w:val="000000"/>
          <w:spacing w:val="0"/>
          <w:sz w:val="32"/>
          <w:szCs w:val="32"/>
          <w:u w:val="none"/>
          <w:bdr w:val="none" w:color="auto" w:sz="0" w:space="0"/>
          <w:vertAlign w:val="baseline"/>
        </w:rPr>
        <w:t>第五章 附则</w:t>
      </w:r>
    </w:p>
    <w:p w14:paraId="5BF079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第二十二条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花都区、番禺区、增城区、从化区负责本区域内区属区管公共文化设施政府指导价的制定和收费综合管理服务工作。</w:t>
      </w:r>
    </w:p>
    <w:p w14:paraId="313C2D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sz w:val="32"/>
          <w:szCs w:val="32"/>
          <w:u w:val="none"/>
        </w:rPr>
      </w:pPr>
      <w:r>
        <w:rPr>
          <w:rStyle w:val="8"/>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第二十三条</w:t>
      </w:r>
      <w:r>
        <w:rPr>
          <w:rFonts w:hint="eastAsia" w:ascii="仿宋_GB2312" w:hAnsi="仿宋_GB2312" w:eastAsia="仿宋_GB2312" w:cs="仿宋_GB2312"/>
          <w:b w:val="0"/>
          <w:bCs w:val="0"/>
          <w:i w:val="0"/>
          <w:iCs w:val="0"/>
          <w:caps w:val="0"/>
          <w:color w:val="000000"/>
          <w:spacing w:val="0"/>
          <w:sz w:val="32"/>
          <w:szCs w:val="32"/>
          <w:u w:val="none"/>
          <w:bdr w:val="none" w:color="auto" w:sz="0" w:space="0"/>
          <w:vertAlign w:val="baseline"/>
        </w:rPr>
        <w:t>  本办法自印发之日起施行，有效期5年。《广州市发展改革委关于我市市属公共体育场馆收费有关问题的复函》（穗发改〔2017〕643号）同时废止。此前我市公共文化设施收费规定与本办法不一致的，按本办法执行。本办法施行期内，国家、省关于公共文化设施收费管理另有规定的，从其规定。</w:t>
      </w:r>
    </w:p>
    <w:p w14:paraId="4EDC822F">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3321AEC0">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6553FC5C">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3C74A97E">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105588CF">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6722E430">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3D013ED1">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4E9280CA">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73C9372E">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2066A3C0">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2799CAA3">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07F288BD">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1BA62FBE">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1F6C60D7">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4267E686">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62AF1386">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096E0549">
      <w:pPr>
        <w:spacing w:line="560" w:lineRule="exact"/>
        <w:ind w:firstLine="0" w:firstLineChars="0"/>
        <w:rPr>
          <w:rFonts w:hint="eastAsia" w:ascii="Times New Roman" w:hAnsi="Times New Roman" w:eastAsia="方正黑体_GBK" w:cs="方正黑体_GBK"/>
          <w:color w:val="auto"/>
          <w:sz w:val="32"/>
          <w:szCs w:val="32"/>
          <w:highlight w:val="none"/>
          <w:lang w:val="en-US" w:eastAsia="zh-CN"/>
        </w:rPr>
      </w:pPr>
    </w:p>
    <w:p w14:paraId="014E29E8">
      <w:pPr>
        <w:spacing w:line="560" w:lineRule="exact"/>
        <w:ind w:firstLine="0" w:firstLineChars="0"/>
        <w:rPr>
          <w:rFonts w:hint="eastAsia" w:ascii="黑体" w:hAnsi="黑体" w:eastAsia="黑体" w:cs="黑体"/>
          <w:color w:val="auto"/>
          <w:sz w:val="24"/>
          <w:szCs w:val="24"/>
          <w:highlight w:val="none"/>
          <w:lang w:val="en" w:eastAsia="zh-CN"/>
        </w:rPr>
      </w:pPr>
      <w:r>
        <w:rPr>
          <w:rFonts w:hint="eastAsia" w:ascii="黑体" w:hAnsi="黑体" w:eastAsia="黑体" w:cs="黑体"/>
          <w:color w:val="auto"/>
          <w:sz w:val="32"/>
          <w:szCs w:val="32"/>
          <w:highlight w:val="none"/>
          <w:lang w:val="en-US" w:eastAsia="zh-CN"/>
        </w:rPr>
        <w:t>附件1</w:t>
      </w:r>
    </w:p>
    <w:p w14:paraId="68FF2E29">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Times New Roman" w:hAnsi="Times New Roman" w:eastAsia="方正小标宋_GBK" w:cs="方正小标宋_GBK"/>
          <w:b w:val="0"/>
          <w:bCs w:val="0"/>
          <w:color w:val="auto"/>
          <w:sz w:val="40"/>
          <w:szCs w:val="40"/>
          <w:highlight w:val="none"/>
          <w:lang w:val="en-US" w:eastAsia="zh-CN"/>
        </w:rPr>
      </w:pPr>
      <w:r>
        <w:rPr>
          <w:rFonts w:hint="eastAsia" w:ascii="Times New Roman" w:hAnsi="Times New Roman" w:eastAsia="方正小标宋_GBK" w:cs="方正小标宋_GBK"/>
          <w:b w:val="0"/>
          <w:bCs w:val="0"/>
          <w:color w:val="auto"/>
          <w:sz w:val="40"/>
          <w:szCs w:val="40"/>
          <w:highlight w:val="none"/>
          <w:lang w:val="en-US" w:eastAsia="zh-CN"/>
        </w:rPr>
        <w:t>公共文化设施非学科类培训</w:t>
      </w:r>
    </w:p>
    <w:p w14:paraId="3E92909E">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Times New Roman" w:hAnsi="Times New Roman" w:eastAsia="方正小标宋_GBK" w:cs="方正小标宋_GBK"/>
          <w:b w:val="0"/>
          <w:bCs w:val="0"/>
          <w:color w:val="auto"/>
          <w:sz w:val="40"/>
          <w:szCs w:val="40"/>
          <w:highlight w:val="none"/>
          <w:lang w:val="en-US" w:eastAsia="zh-CN"/>
        </w:rPr>
      </w:pPr>
      <w:r>
        <w:rPr>
          <w:rFonts w:hint="eastAsia" w:ascii="Times New Roman" w:hAnsi="Times New Roman" w:eastAsia="方正小标宋_GBK" w:cs="方正小标宋_GBK"/>
          <w:b w:val="0"/>
          <w:bCs w:val="0"/>
          <w:color w:val="auto"/>
          <w:sz w:val="40"/>
          <w:szCs w:val="40"/>
          <w:highlight w:val="none"/>
          <w:lang w:val="en-US" w:eastAsia="zh-CN"/>
        </w:rPr>
        <w:t>政府指导价收费标准</w:t>
      </w:r>
    </w:p>
    <w:tbl>
      <w:tblPr>
        <w:tblStyle w:val="6"/>
        <w:tblW w:w="9577" w:type="dxa"/>
        <w:jc w:val="center"/>
        <w:tblLayout w:type="fixed"/>
        <w:tblCellMar>
          <w:top w:w="0" w:type="dxa"/>
          <w:left w:w="0" w:type="dxa"/>
          <w:bottom w:w="0" w:type="dxa"/>
          <w:right w:w="0" w:type="dxa"/>
        </w:tblCellMar>
      </w:tblPr>
      <w:tblGrid>
        <w:gridCol w:w="470"/>
        <w:gridCol w:w="1436"/>
        <w:gridCol w:w="3640"/>
        <w:gridCol w:w="1395"/>
        <w:gridCol w:w="1268"/>
        <w:gridCol w:w="1368"/>
      </w:tblGrid>
      <w:tr w14:paraId="6332CFB5">
        <w:tblPrEx>
          <w:tblCellMar>
            <w:top w:w="0" w:type="dxa"/>
            <w:left w:w="0" w:type="dxa"/>
            <w:bottom w:w="0" w:type="dxa"/>
            <w:right w:w="0" w:type="dxa"/>
          </w:tblCellMar>
        </w:tblPrEx>
        <w:trPr>
          <w:trHeight w:val="372" w:hRule="atLeast"/>
          <w:jc w:val="center"/>
        </w:trPr>
        <w:tc>
          <w:tcPr>
            <w:tcW w:w="47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C1726E">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i w:val="0"/>
                <w:color w:val="000000"/>
                <w:sz w:val="24"/>
                <w:szCs w:val="24"/>
                <w:highlight w:val="none"/>
                <w:u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序号</w:t>
            </w:r>
          </w:p>
        </w:tc>
        <w:tc>
          <w:tcPr>
            <w:tcW w:w="143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2082F9">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i w:val="0"/>
                <w:color w:val="000000"/>
                <w:sz w:val="24"/>
                <w:szCs w:val="24"/>
                <w:highlight w:val="none"/>
                <w:u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专业分类</w:t>
            </w:r>
          </w:p>
        </w:tc>
        <w:tc>
          <w:tcPr>
            <w:tcW w:w="364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5AF66C">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i w:val="0"/>
                <w:color w:val="000000"/>
                <w:sz w:val="24"/>
                <w:szCs w:val="24"/>
                <w:highlight w:val="none"/>
                <w:u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主要课程</w:t>
            </w:r>
          </w:p>
        </w:tc>
        <w:tc>
          <w:tcPr>
            <w:tcW w:w="4031"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36E1AF">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i w:val="0"/>
                <w:color w:val="000000"/>
                <w:sz w:val="24"/>
                <w:szCs w:val="24"/>
                <w:highlight w:val="none"/>
                <w:u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收费标准（元</w:t>
            </w:r>
            <w:r>
              <w:rPr>
                <w:rFonts w:hint="default" w:ascii="Times New Roman" w:hAnsi="Times New Roman" w:eastAsia="仿宋_GB2312" w:cs="Times New Roman"/>
                <w:b/>
                <w:bCs/>
                <w:i w:val="0"/>
                <w:color w:val="000000"/>
                <w:kern w:val="0"/>
                <w:sz w:val="24"/>
                <w:szCs w:val="24"/>
                <w:highlight w:val="none"/>
                <w:u w:val="none"/>
                <w:lang w:val="en" w:eastAsia="zh-CN" w:bidi="ar"/>
              </w:rPr>
              <w:t>/小时</w:t>
            </w:r>
            <w:r>
              <w:rPr>
                <w:rFonts w:hint="default" w:ascii="Times New Roman" w:hAnsi="Times New Roman" w:eastAsia="仿宋_GB2312" w:cs="Times New Roman"/>
                <w:b/>
                <w:bCs/>
                <w:i w:val="0"/>
                <w:color w:val="000000"/>
                <w:kern w:val="0"/>
                <w:sz w:val="24"/>
                <w:szCs w:val="24"/>
                <w:highlight w:val="none"/>
                <w:u w:val="none"/>
                <w:lang w:val="en-US" w:eastAsia="zh-CN" w:bidi="ar"/>
              </w:rPr>
              <w:t>）</w:t>
            </w:r>
          </w:p>
        </w:tc>
      </w:tr>
      <w:tr w14:paraId="156B973B">
        <w:tblPrEx>
          <w:tblCellMar>
            <w:top w:w="0" w:type="dxa"/>
            <w:left w:w="0" w:type="dxa"/>
            <w:bottom w:w="0" w:type="dxa"/>
            <w:right w:w="0" w:type="dxa"/>
          </w:tblCellMar>
        </w:tblPrEx>
        <w:trPr>
          <w:trHeight w:val="723"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00BCA6">
            <w:pPr>
              <w:spacing w:after="0" w:line="360" w:lineRule="exact"/>
              <w:jc w:val="center"/>
              <w:rPr>
                <w:rFonts w:hint="default" w:ascii="Times New Roman" w:hAnsi="Times New Roman" w:eastAsia="仿宋_GB2312" w:cs="Times New Roman"/>
                <w:b/>
                <w:bCs/>
                <w:i w:val="0"/>
                <w:color w:val="000000"/>
                <w:sz w:val="24"/>
                <w:szCs w:val="24"/>
                <w:highlight w:val="none"/>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395CDF">
            <w:pPr>
              <w:spacing w:after="0" w:line="360" w:lineRule="exact"/>
              <w:jc w:val="center"/>
              <w:rPr>
                <w:rFonts w:hint="default" w:ascii="Times New Roman" w:hAnsi="Times New Roman" w:eastAsia="仿宋_GB2312" w:cs="Times New Roman"/>
                <w:b/>
                <w:bCs/>
                <w:i w:val="0"/>
                <w:color w:val="000000"/>
                <w:sz w:val="24"/>
                <w:szCs w:val="24"/>
                <w:highlight w:val="none"/>
                <w:u w:val="none"/>
              </w:rPr>
            </w:pPr>
          </w:p>
        </w:tc>
        <w:tc>
          <w:tcPr>
            <w:tcW w:w="364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B6049D">
            <w:pPr>
              <w:spacing w:after="0" w:line="360" w:lineRule="exact"/>
              <w:jc w:val="center"/>
              <w:rPr>
                <w:rFonts w:hint="default" w:ascii="Times New Roman" w:hAnsi="Times New Roman" w:eastAsia="仿宋_GB2312" w:cs="Times New Roman"/>
                <w:b/>
                <w:bCs/>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679F4A">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i w:val="0"/>
                <w:color w:val="000000"/>
                <w:sz w:val="24"/>
                <w:szCs w:val="24"/>
                <w:highlight w:val="none"/>
                <w:u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（31人以上）</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A81A38">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i w:val="0"/>
                <w:color w:val="000000"/>
                <w:sz w:val="24"/>
                <w:szCs w:val="24"/>
                <w:highlight w:val="none"/>
                <w:u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（16-30人）</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40D5B8">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i w:val="0"/>
                <w:color w:val="000000"/>
                <w:sz w:val="24"/>
                <w:szCs w:val="24"/>
                <w:highlight w:val="none"/>
                <w:u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（15人以下）</w:t>
            </w:r>
          </w:p>
        </w:tc>
      </w:tr>
      <w:tr w14:paraId="70716AA2">
        <w:tblPrEx>
          <w:tblCellMar>
            <w:top w:w="0" w:type="dxa"/>
            <w:left w:w="0" w:type="dxa"/>
            <w:bottom w:w="0" w:type="dxa"/>
            <w:right w:w="0" w:type="dxa"/>
          </w:tblCellMar>
        </w:tblPrEx>
        <w:trPr>
          <w:trHeight w:val="1235"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A927FB">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381840">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rPr>
            </w:pPr>
            <w:r>
              <w:rPr>
                <w:rFonts w:hint="default" w:ascii="Times New Roman" w:hAnsi="Times New Roman" w:eastAsia="仿宋_GB2312" w:cs="Times New Roman"/>
                <w:b w:val="0"/>
                <w:bCs/>
                <w:i w:val="0"/>
                <w:color w:val="000000"/>
                <w:kern w:val="0"/>
                <w:sz w:val="24"/>
                <w:szCs w:val="24"/>
                <w:highlight w:val="none"/>
                <w:u w:val="none"/>
                <w:lang w:val="en-US" w:eastAsia="zh-CN" w:bidi="ar"/>
              </w:rPr>
              <w:t>体育类</w:t>
            </w:r>
          </w:p>
        </w:tc>
        <w:tc>
          <w:tcPr>
            <w:tcW w:w="3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6C580C">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田径、球类、棋牌类、游泳、体操、武术、击剑、射击、极限运动、体适能、体育舞蹈等</w:t>
            </w: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68E0CC">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A02750">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372913">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80</w:t>
            </w:r>
          </w:p>
        </w:tc>
      </w:tr>
      <w:tr w14:paraId="1183E5DF">
        <w:tblPrEx>
          <w:tblCellMar>
            <w:top w:w="0" w:type="dxa"/>
            <w:left w:w="0" w:type="dxa"/>
            <w:bottom w:w="0" w:type="dxa"/>
            <w:right w:w="0" w:type="dxa"/>
          </w:tblCellMar>
        </w:tblPrEx>
        <w:trPr>
          <w:trHeight w:val="529"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754DCB">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51999F">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rPr>
            </w:pPr>
            <w:r>
              <w:rPr>
                <w:rFonts w:hint="default" w:ascii="Times New Roman" w:hAnsi="Times New Roman" w:eastAsia="仿宋_GB2312" w:cs="Times New Roman"/>
                <w:b w:val="0"/>
                <w:bCs/>
                <w:i w:val="0"/>
                <w:color w:val="000000"/>
                <w:kern w:val="0"/>
                <w:sz w:val="24"/>
                <w:szCs w:val="24"/>
                <w:highlight w:val="none"/>
                <w:u w:val="none"/>
                <w:lang w:val="en-US" w:eastAsia="zh-CN" w:bidi="ar"/>
              </w:rPr>
              <w:t>声乐类</w:t>
            </w:r>
          </w:p>
        </w:tc>
        <w:tc>
          <w:tcPr>
            <w:tcW w:w="3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014D59">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独唱、合唱、表演唱等</w:t>
            </w: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C681EE">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7068B0">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70</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150CC6">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100</w:t>
            </w:r>
          </w:p>
        </w:tc>
      </w:tr>
      <w:tr w14:paraId="404EB4E9">
        <w:tblPrEx>
          <w:tblCellMar>
            <w:top w:w="0" w:type="dxa"/>
            <w:left w:w="0" w:type="dxa"/>
            <w:bottom w:w="0" w:type="dxa"/>
            <w:right w:w="0" w:type="dxa"/>
          </w:tblCellMar>
        </w:tblPrEx>
        <w:trPr>
          <w:trHeight w:val="529"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582046">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9D1E07">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rPr>
            </w:pPr>
            <w:r>
              <w:rPr>
                <w:rFonts w:hint="default" w:ascii="Times New Roman" w:hAnsi="Times New Roman" w:eastAsia="仿宋_GB2312" w:cs="Times New Roman"/>
                <w:b w:val="0"/>
                <w:bCs/>
                <w:i w:val="0"/>
                <w:color w:val="000000"/>
                <w:kern w:val="0"/>
                <w:sz w:val="24"/>
                <w:szCs w:val="24"/>
                <w:highlight w:val="none"/>
                <w:u w:val="none"/>
                <w:lang w:val="en-US" w:eastAsia="zh-CN" w:bidi="ar"/>
              </w:rPr>
              <w:t>器乐类</w:t>
            </w:r>
          </w:p>
        </w:tc>
        <w:tc>
          <w:tcPr>
            <w:tcW w:w="3640"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2BD28763">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西洋乐类、民乐类、电声乐等</w:t>
            </w: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6D6D3B">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DC49A4">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85</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F032F8">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105</w:t>
            </w:r>
          </w:p>
        </w:tc>
      </w:tr>
      <w:tr w14:paraId="31764CA3">
        <w:tblPrEx>
          <w:tblCellMar>
            <w:top w:w="0" w:type="dxa"/>
            <w:left w:w="0" w:type="dxa"/>
            <w:bottom w:w="0" w:type="dxa"/>
            <w:right w:w="0" w:type="dxa"/>
          </w:tblCellMar>
        </w:tblPrEx>
        <w:trPr>
          <w:trHeight w:val="882"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59DF46">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F34665">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rPr>
            </w:pPr>
            <w:r>
              <w:rPr>
                <w:rFonts w:hint="default" w:ascii="Times New Roman" w:hAnsi="Times New Roman" w:eastAsia="仿宋_GB2312" w:cs="Times New Roman"/>
                <w:b w:val="0"/>
                <w:bCs/>
                <w:i w:val="0"/>
                <w:color w:val="000000"/>
                <w:kern w:val="0"/>
                <w:sz w:val="24"/>
                <w:szCs w:val="24"/>
                <w:highlight w:val="none"/>
                <w:u w:val="none"/>
                <w:lang w:val="en-US" w:eastAsia="zh-CN" w:bidi="ar"/>
              </w:rPr>
              <w:t>舞蹈类</w:t>
            </w:r>
          </w:p>
        </w:tc>
        <w:tc>
          <w:tcPr>
            <w:tcW w:w="3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912224">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芭蕾舞、中国舞、现代舞、形体训练等</w:t>
            </w: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B23546">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6EF733">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2AF982">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80</w:t>
            </w:r>
          </w:p>
        </w:tc>
      </w:tr>
      <w:tr w14:paraId="5DFD02E5">
        <w:tblPrEx>
          <w:tblCellMar>
            <w:top w:w="0" w:type="dxa"/>
            <w:left w:w="0" w:type="dxa"/>
            <w:bottom w:w="0" w:type="dxa"/>
            <w:right w:w="0" w:type="dxa"/>
          </w:tblCellMar>
        </w:tblPrEx>
        <w:trPr>
          <w:trHeight w:val="882"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9374C2">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1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C962BD">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rPr>
            </w:pPr>
            <w:r>
              <w:rPr>
                <w:rFonts w:hint="default" w:ascii="Times New Roman" w:hAnsi="Times New Roman" w:eastAsia="仿宋_GB2312" w:cs="Times New Roman"/>
                <w:b w:val="0"/>
                <w:bCs/>
                <w:i w:val="0"/>
                <w:color w:val="000000"/>
                <w:kern w:val="0"/>
                <w:sz w:val="24"/>
                <w:szCs w:val="24"/>
                <w:highlight w:val="none"/>
                <w:u w:val="none"/>
                <w:lang w:val="en-US" w:eastAsia="zh-CN" w:bidi="ar"/>
              </w:rPr>
              <w:t>美术类</w:t>
            </w:r>
          </w:p>
        </w:tc>
        <w:tc>
          <w:tcPr>
            <w:tcW w:w="3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5D5789">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书法类、绘画类、篆刻类、工艺美术、视觉艺术等</w:t>
            </w: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DCD342">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5AD1DF">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391729">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75</w:t>
            </w:r>
          </w:p>
        </w:tc>
      </w:tr>
      <w:tr w14:paraId="0DD57698">
        <w:tblPrEx>
          <w:tblCellMar>
            <w:top w:w="0" w:type="dxa"/>
            <w:left w:w="0" w:type="dxa"/>
            <w:bottom w:w="0" w:type="dxa"/>
            <w:right w:w="0" w:type="dxa"/>
          </w:tblCellMar>
        </w:tblPrEx>
        <w:trPr>
          <w:trHeight w:val="882"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B1894E">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E0A418">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rPr>
            </w:pPr>
            <w:r>
              <w:rPr>
                <w:rFonts w:hint="default" w:ascii="Times New Roman" w:hAnsi="Times New Roman" w:eastAsia="仿宋_GB2312" w:cs="Times New Roman"/>
                <w:b w:val="0"/>
                <w:bCs/>
                <w:i w:val="0"/>
                <w:color w:val="000000"/>
                <w:kern w:val="0"/>
                <w:sz w:val="24"/>
                <w:szCs w:val="24"/>
                <w:highlight w:val="none"/>
                <w:u w:val="none"/>
                <w:lang w:val="en-US" w:eastAsia="zh-CN" w:bidi="ar"/>
              </w:rPr>
              <w:t>戏曲戏剧类</w:t>
            </w:r>
          </w:p>
        </w:tc>
        <w:tc>
          <w:tcPr>
            <w:tcW w:w="3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EE529B">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音乐剧、歌舞剧、话剧、地方戏曲、语言艺术等</w:t>
            </w: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4EFDDD">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45</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4D1E98">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70</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5E516F">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85</w:t>
            </w:r>
          </w:p>
        </w:tc>
      </w:tr>
      <w:tr w14:paraId="37867F8C">
        <w:tblPrEx>
          <w:tblCellMar>
            <w:top w:w="0" w:type="dxa"/>
            <w:left w:w="0" w:type="dxa"/>
            <w:bottom w:w="0" w:type="dxa"/>
            <w:right w:w="0" w:type="dxa"/>
          </w:tblCellMar>
        </w:tblPrEx>
        <w:trPr>
          <w:trHeight w:val="882"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0B50AA">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7</w:t>
            </w:r>
          </w:p>
        </w:tc>
        <w:tc>
          <w:tcPr>
            <w:tcW w:w="1436"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42C14BFD">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rPr>
            </w:pPr>
            <w:r>
              <w:rPr>
                <w:rFonts w:hint="default" w:ascii="Times New Roman" w:hAnsi="Times New Roman" w:eastAsia="仿宋_GB2312" w:cs="Times New Roman"/>
                <w:b w:val="0"/>
                <w:bCs/>
                <w:i w:val="0"/>
                <w:color w:val="000000"/>
                <w:kern w:val="0"/>
                <w:sz w:val="24"/>
                <w:szCs w:val="24"/>
                <w:highlight w:val="none"/>
                <w:u w:val="none"/>
                <w:lang w:val="en-US" w:eastAsia="zh-CN" w:bidi="ar"/>
              </w:rPr>
              <w:t>科学类</w:t>
            </w:r>
          </w:p>
        </w:tc>
        <w:tc>
          <w:tcPr>
            <w:tcW w:w="3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BB6FA4">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计算机编程、机器人、人工智能（AI）、模型、无线电、无人机、科普等</w:t>
            </w: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AAF3B1">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EFCBC2">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80</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75C055">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100</w:t>
            </w:r>
          </w:p>
        </w:tc>
      </w:tr>
      <w:tr w14:paraId="38A88958">
        <w:tblPrEx>
          <w:tblCellMar>
            <w:top w:w="0" w:type="dxa"/>
            <w:left w:w="0" w:type="dxa"/>
            <w:bottom w:w="0" w:type="dxa"/>
            <w:right w:w="0" w:type="dxa"/>
          </w:tblCellMar>
        </w:tblPrEx>
        <w:trPr>
          <w:trHeight w:val="1235"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D61D40">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w:t>
            </w:r>
          </w:p>
        </w:tc>
        <w:tc>
          <w:tcPr>
            <w:tcW w:w="1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E1A6DC">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rPr>
            </w:pPr>
            <w:r>
              <w:rPr>
                <w:rFonts w:hint="default" w:ascii="Times New Roman" w:hAnsi="Times New Roman" w:eastAsia="仿宋_GB2312" w:cs="Times New Roman"/>
                <w:b w:val="0"/>
                <w:bCs/>
                <w:i w:val="0"/>
                <w:color w:val="000000"/>
                <w:kern w:val="0"/>
                <w:sz w:val="24"/>
                <w:szCs w:val="24"/>
                <w:highlight w:val="none"/>
                <w:u w:val="none"/>
                <w:lang w:val="en-US" w:eastAsia="zh-CN" w:bidi="ar"/>
              </w:rPr>
              <w:t>综合实践类</w:t>
            </w:r>
          </w:p>
        </w:tc>
        <w:tc>
          <w:tcPr>
            <w:tcW w:w="3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9A3B8B">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感统训练、儿童健康、生存训练、劳动技能、职业体验、社教活动、成长教育等</w:t>
            </w:r>
          </w:p>
        </w:tc>
        <w:tc>
          <w:tcPr>
            <w:tcW w:w="1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AD9AD8">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7112B9">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75</w:t>
            </w:r>
          </w:p>
        </w:tc>
        <w:tc>
          <w:tcPr>
            <w:tcW w:w="1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1F2F1A">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95</w:t>
            </w:r>
          </w:p>
        </w:tc>
      </w:tr>
      <w:tr w14:paraId="6A53AC4F">
        <w:tblPrEx>
          <w:tblCellMar>
            <w:top w:w="0" w:type="dxa"/>
            <w:left w:w="0" w:type="dxa"/>
            <w:bottom w:w="0" w:type="dxa"/>
            <w:right w:w="0" w:type="dxa"/>
          </w:tblCellMar>
        </w:tblPrEx>
        <w:trPr>
          <w:trHeight w:val="891" w:hRule="atLeast"/>
          <w:jc w:val="center"/>
        </w:trPr>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FD1859">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9</w:t>
            </w:r>
          </w:p>
        </w:tc>
        <w:tc>
          <w:tcPr>
            <w:tcW w:w="1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197D0C">
            <w:pPr>
              <w:keepNext w:val="0"/>
              <w:keepLines w:val="0"/>
              <w:widowControl/>
              <w:suppressLineNumbers w:val="0"/>
              <w:spacing w:after="0" w:line="320" w:lineRule="exact"/>
              <w:jc w:val="center"/>
              <w:textAlignment w:val="center"/>
              <w:rPr>
                <w:rFonts w:hint="default" w:ascii="Times New Roman" w:hAnsi="Times New Roman" w:eastAsia="仿宋_GB2312" w:cs="Times New Roman"/>
                <w:b w:val="0"/>
                <w:bCs/>
                <w:i w:val="0"/>
                <w:color w:val="000000"/>
                <w:sz w:val="24"/>
                <w:szCs w:val="24"/>
                <w:highlight w:val="none"/>
                <w:u w:val="none"/>
                <w:lang w:val="en-US"/>
              </w:rPr>
            </w:pPr>
            <w:r>
              <w:rPr>
                <w:rFonts w:hint="default" w:ascii="Times New Roman" w:hAnsi="Times New Roman" w:eastAsia="仿宋_GB2312" w:cs="Times New Roman"/>
                <w:b w:val="0"/>
                <w:bCs/>
                <w:i w:val="0"/>
                <w:color w:val="000000"/>
                <w:kern w:val="0"/>
                <w:sz w:val="24"/>
                <w:szCs w:val="24"/>
                <w:highlight w:val="none"/>
                <w:u w:val="none"/>
                <w:lang w:val="en-US" w:eastAsia="zh-CN" w:bidi="ar"/>
              </w:rPr>
              <w:t>一对一培训课程</w:t>
            </w:r>
          </w:p>
        </w:tc>
        <w:tc>
          <w:tcPr>
            <w:tcW w:w="3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F3956D">
            <w:pPr>
              <w:keepNext w:val="0"/>
              <w:keepLines w:val="0"/>
              <w:widowControl/>
              <w:suppressLineNumbers w:val="0"/>
              <w:spacing w:after="0" w:line="320" w:lineRule="exact"/>
              <w:jc w:val="both"/>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声乐、器乐、心理健康等</w:t>
            </w:r>
          </w:p>
        </w:tc>
        <w:tc>
          <w:tcPr>
            <w:tcW w:w="4031"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A7B3A2">
            <w:pPr>
              <w:keepNext w:val="0"/>
              <w:keepLines w:val="0"/>
              <w:widowControl/>
              <w:suppressLineNumbers w:val="0"/>
              <w:spacing w:after="0" w:line="32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260</w:t>
            </w:r>
          </w:p>
        </w:tc>
      </w:tr>
    </w:tbl>
    <w:p w14:paraId="2C6F3905">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备注：1. 以上收费标准不含教材、耗材等费用，相关费用据实收取。</w:t>
      </w:r>
    </w:p>
    <w:p w14:paraId="276D3BE7">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720" w:leftChars="0"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课时时长为90分钟的，按收费标准的150%计算；课时时长为45分钟的，按收费标准的75%计算，以此类推。</w:t>
      </w:r>
    </w:p>
    <w:p w14:paraId="0E926B4A">
      <w:pPr>
        <w:rPr>
          <w:rFonts w:hint="eastAsia" w:ascii="黑体" w:hAnsi="黑体" w:eastAsia="黑体" w:cs="黑体"/>
          <w:color w:val="auto"/>
          <w:kern w:val="2"/>
          <w:sz w:val="32"/>
          <w:szCs w:val="32"/>
          <w:highlight w:val="none"/>
          <w:shd w:val="clear" w:color="auto" w:fill="auto"/>
          <w:lang w:val="en-US" w:eastAsia="zh-CN" w:bidi="ar-SA"/>
        </w:rPr>
      </w:pPr>
      <w:r>
        <w:rPr>
          <w:rFonts w:hint="eastAsia" w:ascii="黑体" w:hAnsi="黑体" w:eastAsia="黑体" w:cs="黑体"/>
          <w:color w:val="auto"/>
          <w:kern w:val="2"/>
          <w:sz w:val="32"/>
          <w:szCs w:val="32"/>
          <w:highlight w:val="none"/>
          <w:shd w:val="clear" w:color="auto" w:fill="auto"/>
          <w:lang w:val="en-US" w:eastAsia="zh-CN" w:bidi="ar-SA"/>
        </w:rPr>
        <w:t>附件2</w:t>
      </w:r>
    </w:p>
    <w:p w14:paraId="5F820F77">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Times New Roman" w:hAnsi="Times New Roman" w:eastAsia="方正小标宋_GBK" w:cs="方正小标宋_GBK"/>
          <w:b w:val="0"/>
          <w:bCs w:val="0"/>
          <w:color w:val="auto"/>
          <w:sz w:val="40"/>
          <w:szCs w:val="40"/>
          <w:highlight w:val="none"/>
          <w:lang w:val="en-US" w:eastAsia="zh-CN"/>
        </w:rPr>
      </w:pPr>
      <w:r>
        <w:rPr>
          <w:rFonts w:hint="eastAsia" w:ascii="Times New Roman" w:hAnsi="Times New Roman" w:eastAsia="方正小标宋_GBK" w:cs="方正小标宋_GBK"/>
          <w:b w:val="0"/>
          <w:bCs w:val="0"/>
          <w:color w:val="auto"/>
          <w:sz w:val="40"/>
          <w:szCs w:val="40"/>
          <w:highlight w:val="none"/>
          <w:lang w:val="en-US" w:eastAsia="zh-CN"/>
        </w:rPr>
        <w:t>公共文化设施开放及临时活动</w:t>
      </w:r>
    </w:p>
    <w:p w14:paraId="7C241FB7">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Times New Roman" w:hAnsi="Times New Roman" w:eastAsia="方正小标宋_GBK" w:cs="方正小标宋_GBK"/>
          <w:b w:val="0"/>
          <w:bCs w:val="0"/>
          <w:color w:val="auto"/>
          <w:sz w:val="40"/>
          <w:szCs w:val="40"/>
          <w:highlight w:val="none"/>
          <w:lang w:val="en-US" w:eastAsia="zh-CN"/>
        </w:rPr>
      </w:pPr>
      <w:r>
        <w:rPr>
          <w:rFonts w:hint="eastAsia" w:ascii="Times New Roman" w:hAnsi="Times New Roman" w:eastAsia="方正小标宋_GBK" w:cs="方正小标宋_GBK"/>
          <w:b w:val="0"/>
          <w:bCs w:val="0"/>
          <w:color w:val="auto"/>
          <w:sz w:val="40"/>
          <w:szCs w:val="40"/>
          <w:highlight w:val="none"/>
          <w:lang w:val="en-US" w:eastAsia="zh-CN"/>
        </w:rPr>
        <w:t>政府指导价收费标准</w:t>
      </w:r>
    </w:p>
    <w:tbl>
      <w:tblPr>
        <w:tblStyle w:val="6"/>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031"/>
        <w:gridCol w:w="3100"/>
        <w:gridCol w:w="3074"/>
      </w:tblGrid>
      <w:tr w14:paraId="7319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2A4E759">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val="0"/>
                <w:i w:val="0"/>
                <w:color w:val="000000"/>
                <w:sz w:val="24"/>
                <w:szCs w:val="24"/>
                <w:highlight w:val="none"/>
                <w:u w:val="none"/>
              </w:rPr>
            </w:pPr>
            <w:r>
              <w:rPr>
                <w:rFonts w:hint="default" w:ascii="Times New Roman" w:hAnsi="Times New Roman" w:eastAsia="仿宋_GB2312" w:cs="Times New Roman"/>
                <w:b/>
                <w:bCs w:val="0"/>
                <w:i w:val="0"/>
                <w:color w:val="000000"/>
                <w:kern w:val="0"/>
                <w:sz w:val="24"/>
                <w:szCs w:val="24"/>
                <w:highlight w:val="none"/>
                <w:u w:val="none"/>
                <w:lang w:val="en-US" w:eastAsia="zh-CN" w:bidi="ar"/>
              </w:rPr>
              <w:t>序号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1035049">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val="0"/>
                <w:i w:val="0"/>
                <w:color w:val="000000"/>
                <w:kern w:val="0"/>
                <w:sz w:val="24"/>
                <w:szCs w:val="24"/>
                <w:highlight w:val="none"/>
                <w:u w:val="none"/>
                <w:lang w:bidi="ar"/>
              </w:rPr>
            </w:pPr>
            <w:r>
              <w:rPr>
                <w:rFonts w:hint="default" w:ascii="Times New Roman" w:hAnsi="Times New Roman" w:eastAsia="仿宋_GB2312" w:cs="Times New Roman"/>
                <w:b/>
                <w:bCs w:val="0"/>
                <w:i w:val="0"/>
                <w:color w:val="000000"/>
                <w:kern w:val="0"/>
                <w:sz w:val="24"/>
                <w:szCs w:val="24"/>
                <w:highlight w:val="none"/>
                <w:u w:val="none"/>
                <w:lang w:val="en-US" w:eastAsia="zh-CN" w:bidi="ar"/>
              </w:rPr>
              <w:t>项目名称</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19856C22">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val="0"/>
                <w:i w:val="0"/>
                <w:color w:val="000000"/>
                <w:sz w:val="24"/>
                <w:szCs w:val="24"/>
                <w:highlight w:val="none"/>
                <w:u w:val="none"/>
              </w:rPr>
            </w:pPr>
            <w:r>
              <w:rPr>
                <w:rFonts w:hint="default" w:ascii="Times New Roman" w:hAnsi="Times New Roman" w:eastAsia="仿宋_GB2312" w:cs="Times New Roman"/>
                <w:b/>
                <w:bCs w:val="0"/>
                <w:i w:val="0"/>
                <w:color w:val="000000"/>
                <w:kern w:val="0"/>
                <w:sz w:val="24"/>
                <w:szCs w:val="24"/>
                <w:highlight w:val="none"/>
                <w:u w:val="none"/>
                <w:lang w:val="en-US" w:eastAsia="zh-CN" w:bidi="ar"/>
              </w:rPr>
              <w:t>收费标准</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14:paraId="6DC0FC4D">
            <w:pPr>
              <w:keepNext w:val="0"/>
              <w:keepLines w:val="0"/>
              <w:widowControl/>
              <w:suppressLineNumbers w:val="0"/>
              <w:spacing w:after="0" w:line="360" w:lineRule="exact"/>
              <w:jc w:val="center"/>
              <w:textAlignment w:val="center"/>
              <w:rPr>
                <w:rFonts w:hint="default" w:ascii="Times New Roman" w:hAnsi="Times New Roman" w:eastAsia="仿宋_GB2312" w:cs="Times New Roman"/>
                <w:b/>
                <w:bCs w:val="0"/>
                <w:i w:val="0"/>
                <w:color w:val="000000"/>
                <w:sz w:val="24"/>
                <w:szCs w:val="24"/>
                <w:highlight w:val="none"/>
                <w:u w:val="none"/>
              </w:rPr>
            </w:pPr>
            <w:r>
              <w:rPr>
                <w:rFonts w:hint="default" w:ascii="Times New Roman" w:hAnsi="Times New Roman" w:eastAsia="仿宋_GB2312" w:cs="Times New Roman"/>
                <w:b/>
                <w:bCs w:val="0"/>
                <w:i w:val="0"/>
                <w:color w:val="000000"/>
                <w:kern w:val="0"/>
                <w:sz w:val="24"/>
                <w:szCs w:val="24"/>
                <w:highlight w:val="none"/>
                <w:u w:val="none"/>
                <w:lang w:val="en-US" w:eastAsia="zh-CN" w:bidi="ar"/>
              </w:rPr>
              <w:t>备注</w:t>
            </w:r>
          </w:p>
        </w:tc>
      </w:tr>
      <w:tr w14:paraId="6664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48DD78B">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76B812E">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lang w:val="en-US"/>
              </w:rPr>
            </w:pPr>
            <w:r>
              <w:rPr>
                <w:rFonts w:hint="default" w:ascii="Times New Roman" w:hAnsi="Times New Roman" w:eastAsia="仿宋_GB2312" w:cs="Times New Roman"/>
                <w:i w:val="0"/>
                <w:color w:val="000000"/>
                <w:kern w:val="0"/>
                <w:sz w:val="24"/>
                <w:szCs w:val="24"/>
                <w:highlight w:val="none"/>
                <w:u w:val="none"/>
                <w:lang w:val="en-US" w:eastAsia="zh-CN" w:bidi="ar"/>
              </w:rPr>
              <w:t>篮球（室外）</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50954D6D">
            <w:pPr>
              <w:keepNext w:val="0"/>
              <w:keepLines w:val="0"/>
              <w:widowControl/>
              <w:suppressLineNumbers w:val="0"/>
              <w:spacing w:after="0" w:line="360" w:lineRule="exact"/>
              <w:jc w:val="center"/>
              <w:textAlignment w:val="center"/>
              <w:rPr>
                <w:rStyle w:val="11"/>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散客：10</w:t>
            </w:r>
            <w:r>
              <w:rPr>
                <w:rStyle w:val="11"/>
                <w:rFonts w:hint="default" w:ascii="Times New Roman" w:hAnsi="Times New Roman" w:eastAsia="仿宋_GB2312" w:cs="Times New Roman"/>
                <w:sz w:val="24"/>
                <w:szCs w:val="24"/>
                <w:highlight w:val="none"/>
                <w:lang w:val="en-US" w:eastAsia="zh-CN" w:bidi="ar"/>
              </w:rPr>
              <w:t>元/人</w:t>
            </w:r>
          </w:p>
          <w:p w14:paraId="1447F702">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Style w:val="11"/>
                <w:rFonts w:hint="default" w:ascii="Times New Roman" w:hAnsi="Times New Roman" w:eastAsia="仿宋_GB2312" w:cs="Times New Roman"/>
                <w:sz w:val="24"/>
                <w:szCs w:val="24"/>
                <w:highlight w:val="none"/>
                <w:lang w:val="en-US" w:eastAsia="zh-CN" w:bidi="ar"/>
              </w:rPr>
              <w:t>包场：300元/小时</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14:paraId="42A074E0">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default" w:ascii="Times New Roman" w:hAnsi="Times New Roman" w:eastAsia="仿宋_GB2312" w:cs="Times New Roman"/>
                <w:i w:val="0"/>
                <w:color w:val="000000"/>
                <w:sz w:val="24"/>
                <w:szCs w:val="24"/>
                <w:highlight w:val="none"/>
                <w:u w:val="none"/>
                <w:lang w:eastAsia="zh-CN"/>
              </w:rPr>
              <w:t>室内球场</w:t>
            </w:r>
            <w:r>
              <w:rPr>
                <w:rFonts w:hint="default" w:ascii="Times New Roman" w:hAnsi="Times New Roman" w:eastAsia="仿宋_GB2312" w:cs="Times New Roman"/>
                <w:i w:val="0"/>
                <w:color w:val="000000"/>
                <w:sz w:val="24"/>
                <w:szCs w:val="24"/>
                <w:highlight w:val="none"/>
                <w:u w:val="none"/>
                <w:lang w:val="en-US" w:eastAsia="zh-CN"/>
              </w:rPr>
              <w:t>的收费标准</w:t>
            </w:r>
            <w:r>
              <w:rPr>
                <w:rFonts w:hint="default" w:ascii="Times New Roman" w:hAnsi="Times New Roman" w:eastAsia="仿宋_GB2312" w:cs="Times New Roman"/>
                <w:i w:val="0"/>
                <w:color w:val="000000"/>
                <w:sz w:val="24"/>
                <w:szCs w:val="24"/>
                <w:highlight w:val="none"/>
                <w:u w:val="none"/>
                <w:lang w:eastAsia="zh-CN"/>
              </w:rPr>
              <w:t>可</w:t>
            </w:r>
            <w:r>
              <w:rPr>
                <w:rFonts w:hint="default" w:ascii="Times New Roman" w:hAnsi="Times New Roman" w:eastAsia="仿宋_GB2312" w:cs="Times New Roman"/>
                <w:i w:val="0"/>
                <w:color w:val="000000"/>
                <w:sz w:val="24"/>
                <w:szCs w:val="24"/>
                <w:highlight w:val="none"/>
                <w:u w:val="none"/>
                <w:lang w:val="en-US" w:eastAsia="zh-CN"/>
              </w:rPr>
              <w:t>按1.2倍价格收取费用</w:t>
            </w:r>
          </w:p>
        </w:tc>
      </w:tr>
      <w:tr w14:paraId="335F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FDF1725">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7B83660">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足球</w:t>
            </w:r>
            <w:r>
              <w:rPr>
                <w:rStyle w:val="11"/>
                <w:rFonts w:hint="default" w:ascii="Times New Roman" w:hAnsi="Times New Roman" w:eastAsia="仿宋_GB2312" w:cs="Times New Roman"/>
                <w:sz w:val="24"/>
                <w:szCs w:val="24"/>
                <w:highlight w:val="none"/>
                <w:lang w:val="en-US" w:eastAsia="zh-CN" w:bidi="ar"/>
              </w:rPr>
              <w:t>（人造草场）</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2EE89EC8">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5人场：350元/小时</w:t>
            </w:r>
          </w:p>
          <w:p w14:paraId="0398A5CA">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7人场：500元/小时</w:t>
            </w:r>
          </w:p>
          <w:p w14:paraId="227CE891">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11人场：1000元/小时</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14:paraId="39F404BF">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Style w:val="11"/>
                <w:rFonts w:hint="default" w:ascii="Times New Roman" w:hAnsi="Times New Roman" w:eastAsia="仿宋_GB2312" w:cs="Times New Roman"/>
                <w:sz w:val="24"/>
                <w:szCs w:val="24"/>
                <w:highlight w:val="none"/>
                <w:lang w:val="en-US" w:eastAsia="zh-CN" w:bidi="ar"/>
              </w:rPr>
              <w:t>天然草场</w:t>
            </w:r>
            <w:r>
              <w:rPr>
                <w:rFonts w:hint="default" w:ascii="Times New Roman" w:hAnsi="Times New Roman" w:eastAsia="仿宋_GB2312" w:cs="Times New Roman"/>
                <w:i w:val="0"/>
                <w:color w:val="000000"/>
                <w:sz w:val="24"/>
                <w:szCs w:val="24"/>
                <w:highlight w:val="none"/>
                <w:u w:val="none"/>
                <w:lang w:val="en-US" w:eastAsia="zh-CN"/>
              </w:rPr>
              <w:t>的收费标准</w:t>
            </w:r>
            <w:r>
              <w:rPr>
                <w:rStyle w:val="11"/>
                <w:rFonts w:hint="default" w:ascii="Times New Roman" w:hAnsi="Times New Roman" w:eastAsia="仿宋_GB2312" w:cs="Times New Roman"/>
                <w:sz w:val="24"/>
                <w:szCs w:val="24"/>
                <w:highlight w:val="none"/>
                <w:lang w:val="en-US" w:eastAsia="zh-CN" w:bidi="ar"/>
              </w:rPr>
              <w:t>按不超过2.5倍的价格收取费用</w:t>
            </w:r>
          </w:p>
        </w:tc>
      </w:tr>
      <w:tr w14:paraId="5E87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628CF5">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8AFAEDB">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羽毛球</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2C0DF992">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90</w:t>
            </w:r>
            <w:r>
              <w:rPr>
                <w:rStyle w:val="11"/>
                <w:rFonts w:hint="default" w:ascii="Times New Roman" w:hAnsi="Times New Roman" w:eastAsia="仿宋_GB2312" w:cs="Times New Roman"/>
                <w:sz w:val="24"/>
                <w:szCs w:val="24"/>
                <w:highlight w:val="none"/>
                <w:lang w:val="en-US" w:eastAsia="zh-CN" w:bidi="ar"/>
              </w:rPr>
              <w:t>元/小时</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14:paraId="1F035988">
            <w:pPr>
              <w:spacing w:after="0" w:line="360" w:lineRule="exact"/>
              <w:jc w:val="center"/>
              <w:rPr>
                <w:rFonts w:hint="default" w:ascii="Times New Roman" w:hAnsi="Times New Roman" w:eastAsia="仿宋_GB2312" w:cs="Times New Roman"/>
                <w:i w:val="0"/>
                <w:color w:val="000000"/>
                <w:sz w:val="24"/>
                <w:szCs w:val="24"/>
                <w:highlight w:val="none"/>
                <w:u w:val="none"/>
              </w:rPr>
            </w:pPr>
          </w:p>
        </w:tc>
      </w:tr>
      <w:tr w14:paraId="5BCA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2C1A6D5">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1F51A21">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网球（室外）</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57C47976">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100</w:t>
            </w:r>
            <w:r>
              <w:rPr>
                <w:rStyle w:val="11"/>
                <w:rFonts w:hint="default" w:ascii="Times New Roman" w:hAnsi="Times New Roman" w:eastAsia="仿宋_GB2312" w:cs="Times New Roman"/>
                <w:sz w:val="24"/>
                <w:szCs w:val="24"/>
                <w:highlight w:val="none"/>
                <w:lang w:val="en-US" w:eastAsia="zh-CN" w:bidi="ar"/>
              </w:rPr>
              <w:t>元/小时</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14:paraId="154EA10B">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sz w:val="24"/>
                <w:szCs w:val="24"/>
                <w:highlight w:val="none"/>
                <w:u w:val="none"/>
                <w:lang w:eastAsia="zh-CN"/>
              </w:rPr>
              <w:t>室内球场</w:t>
            </w:r>
            <w:r>
              <w:rPr>
                <w:rFonts w:hint="default" w:ascii="Times New Roman" w:hAnsi="Times New Roman" w:eastAsia="仿宋_GB2312" w:cs="Times New Roman"/>
                <w:i w:val="0"/>
                <w:color w:val="000000"/>
                <w:sz w:val="24"/>
                <w:szCs w:val="24"/>
                <w:highlight w:val="none"/>
                <w:u w:val="none"/>
                <w:lang w:val="en-US" w:eastAsia="zh-CN"/>
              </w:rPr>
              <w:t>的收费标准</w:t>
            </w:r>
            <w:r>
              <w:rPr>
                <w:rFonts w:hint="default" w:ascii="Times New Roman" w:hAnsi="Times New Roman" w:eastAsia="仿宋_GB2312" w:cs="Times New Roman"/>
                <w:i w:val="0"/>
                <w:color w:val="000000"/>
                <w:sz w:val="24"/>
                <w:szCs w:val="24"/>
                <w:highlight w:val="none"/>
                <w:u w:val="none"/>
                <w:lang w:eastAsia="zh-CN"/>
              </w:rPr>
              <w:t>可</w:t>
            </w:r>
            <w:r>
              <w:rPr>
                <w:rFonts w:hint="default" w:ascii="Times New Roman" w:hAnsi="Times New Roman" w:eastAsia="仿宋_GB2312" w:cs="Times New Roman"/>
                <w:i w:val="0"/>
                <w:color w:val="000000"/>
                <w:sz w:val="24"/>
                <w:szCs w:val="24"/>
                <w:highlight w:val="none"/>
                <w:u w:val="none"/>
                <w:lang w:val="en-US" w:eastAsia="zh-CN"/>
              </w:rPr>
              <w:t>按1.2倍价格收取费用</w:t>
            </w:r>
          </w:p>
        </w:tc>
      </w:tr>
      <w:tr w14:paraId="7F62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9CDAE2">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D5FE909">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游泳（非恒温）</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358E28EA">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40</w:t>
            </w:r>
            <w:r>
              <w:rPr>
                <w:rStyle w:val="11"/>
                <w:rFonts w:hint="default" w:ascii="Times New Roman" w:hAnsi="Times New Roman" w:eastAsia="仿宋_GB2312" w:cs="Times New Roman"/>
                <w:sz w:val="24"/>
                <w:szCs w:val="24"/>
                <w:highlight w:val="none"/>
                <w:lang w:val="en-US" w:eastAsia="zh-CN" w:bidi="ar"/>
              </w:rPr>
              <w:t>元/人</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14:paraId="72625B8F">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sz w:val="24"/>
                <w:szCs w:val="24"/>
                <w:highlight w:val="none"/>
                <w:u w:val="none"/>
                <w:lang w:eastAsia="zh-CN"/>
              </w:rPr>
              <w:t>恒温泳场</w:t>
            </w:r>
            <w:r>
              <w:rPr>
                <w:rFonts w:hint="default" w:ascii="Times New Roman" w:hAnsi="Times New Roman" w:eastAsia="仿宋_GB2312" w:cs="Times New Roman"/>
                <w:i w:val="0"/>
                <w:color w:val="000000"/>
                <w:sz w:val="24"/>
                <w:szCs w:val="24"/>
                <w:highlight w:val="none"/>
                <w:u w:val="none"/>
                <w:lang w:val="en-US" w:eastAsia="zh-CN"/>
              </w:rPr>
              <w:t>的收费标准</w:t>
            </w:r>
            <w:r>
              <w:rPr>
                <w:rFonts w:hint="default" w:ascii="Times New Roman" w:hAnsi="Times New Roman" w:eastAsia="仿宋_GB2312" w:cs="Times New Roman"/>
                <w:i w:val="0"/>
                <w:color w:val="000000"/>
                <w:sz w:val="24"/>
                <w:szCs w:val="24"/>
                <w:highlight w:val="none"/>
                <w:u w:val="none"/>
                <w:lang w:eastAsia="zh-CN"/>
              </w:rPr>
              <w:t>可</w:t>
            </w:r>
            <w:r>
              <w:rPr>
                <w:rFonts w:hint="default" w:ascii="Times New Roman" w:hAnsi="Times New Roman" w:eastAsia="仿宋_GB2312" w:cs="Times New Roman"/>
                <w:i w:val="0"/>
                <w:color w:val="000000"/>
                <w:sz w:val="24"/>
                <w:szCs w:val="24"/>
                <w:highlight w:val="none"/>
                <w:u w:val="none"/>
                <w:lang w:val="en-US" w:eastAsia="zh-CN"/>
              </w:rPr>
              <w:t>按1.2倍价格收取费用</w:t>
            </w:r>
          </w:p>
        </w:tc>
      </w:tr>
      <w:tr w14:paraId="1550C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567B0E">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A5931EE">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乒乓球</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22D020CD">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40</w:t>
            </w:r>
            <w:r>
              <w:rPr>
                <w:rStyle w:val="11"/>
                <w:rFonts w:hint="default" w:ascii="Times New Roman" w:hAnsi="Times New Roman" w:eastAsia="仿宋_GB2312" w:cs="Times New Roman"/>
                <w:sz w:val="24"/>
                <w:szCs w:val="24"/>
                <w:highlight w:val="none"/>
                <w:lang w:val="en-US" w:eastAsia="zh-CN" w:bidi="ar"/>
              </w:rPr>
              <w:t>元/小时</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14:paraId="0878D01C">
            <w:pPr>
              <w:spacing w:after="0" w:line="360" w:lineRule="exact"/>
              <w:jc w:val="center"/>
              <w:rPr>
                <w:rFonts w:hint="default" w:ascii="Times New Roman" w:hAnsi="Times New Roman" w:eastAsia="仿宋_GB2312" w:cs="Times New Roman"/>
                <w:i w:val="0"/>
                <w:color w:val="000000"/>
                <w:sz w:val="24"/>
                <w:szCs w:val="24"/>
                <w:highlight w:val="none"/>
                <w:u w:val="none"/>
              </w:rPr>
            </w:pPr>
          </w:p>
        </w:tc>
      </w:tr>
      <w:tr w14:paraId="0E94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5" w:type="dxa"/>
            <w:tcBorders>
              <w:top w:val="single" w:color="000000" w:sz="4" w:space="0"/>
              <w:left w:val="single" w:color="000000" w:sz="4" w:space="0"/>
              <w:bottom w:val="single" w:color="auto" w:sz="4" w:space="0"/>
              <w:right w:val="single" w:color="000000" w:sz="4" w:space="0"/>
            </w:tcBorders>
            <w:noWrap w:val="0"/>
            <w:vAlign w:val="center"/>
          </w:tcPr>
          <w:p w14:paraId="0D86BA0B">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7</w:t>
            </w:r>
          </w:p>
        </w:tc>
        <w:tc>
          <w:tcPr>
            <w:tcW w:w="2031" w:type="dxa"/>
            <w:tcBorders>
              <w:top w:val="single" w:color="000000" w:sz="4" w:space="0"/>
              <w:left w:val="single" w:color="000000" w:sz="4" w:space="0"/>
              <w:bottom w:val="single" w:color="auto" w:sz="4" w:space="0"/>
              <w:right w:val="single" w:color="000000" w:sz="4" w:space="0"/>
            </w:tcBorders>
            <w:noWrap w:val="0"/>
            <w:vAlign w:val="center"/>
          </w:tcPr>
          <w:p w14:paraId="1769B27E">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滑轮、滑板、攀岩、台球等小众活动</w:t>
            </w:r>
          </w:p>
        </w:tc>
        <w:tc>
          <w:tcPr>
            <w:tcW w:w="3100" w:type="dxa"/>
            <w:tcBorders>
              <w:top w:val="single" w:color="000000" w:sz="4" w:space="0"/>
              <w:left w:val="single" w:color="000000" w:sz="4" w:space="0"/>
              <w:bottom w:val="single" w:color="auto" w:sz="4" w:space="0"/>
              <w:right w:val="single" w:color="000000" w:sz="4" w:space="0"/>
            </w:tcBorders>
            <w:noWrap w:val="0"/>
            <w:vAlign w:val="center"/>
          </w:tcPr>
          <w:p w14:paraId="386756A6">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50</w:t>
            </w:r>
            <w:r>
              <w:rPr>
                <w:rStyle w:val="11"/>
                <w:rFonts w:hint="default" w:ascii="Times New Roman" w:hAnsi="Times New Roman" w:eastAsia="仿宋_GB2312" w:cs="Times New Roman"/>
                <w:sz w:val="24"/>
                <w:szCs w:val="24"/>
                <w:highlight w:val="none"/>
                <w:lang w:val="en-US" w:eastAsia="zh-CN" w:bidi="ar"/>
              </w:rPr>
              <w:t>元/人</w:t>
            </w:r>
          </w:p>
        </w:tc>
        <w:tc>
          <w:tcPr>
            <w:tcW w:w="3074" w:type="dxa"/>
            <w:tcBorders>
              <w:top w:val="single" w:color="000000" w:sz="4" w:space="0"/>
              <w:left w:val="single" w:color="000000" w:sz="4" w:space="0"/>
              <w:bottom w:val="single" w:color="auto" w:sz="4" w:space="0"/>
              <w:right w:val="single" w:color="000000" w:sz="4" w:space="0"/>
            </w:tcBorders>
            <w:noWrap w:val="0"/>
            <w:vAlign w:val="center"/>
          </w:tcPr>
          <w:p w14:paraId="11E1BA09">
            <w:pPr>
              <w:spacing w:after="0" w:line="360" w:lineRule="exact"/>
              <w:jc w:val="center"/>
              <w:rPr>
                <w:rFonts w:hint="default" w:ascii="Times New Roman" w:hAnsi="Times New Roman" w:eastAsia="仿宋_GB2312" w:cs="Times New Roman"/>
                <w:i w:val="0"/>
                <w:color w:val="000000"/>
                <w:sz w:val="24"/>
                <w:szCs w:val="24"/>
                <w:highlight w:val="none"/>
                <w:u w:val="none"/>
              </w:rPr>
            </w:pPr>
          </w:p>
        </w:tc>
      </w:tr>
      <w:tr w14:paraId="4D80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123ED62">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19F5F8CE">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展示展览、文艺表演，沉浸式体验等临时活动</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2AC7AC96">
            <w:pPr>
              <w:keepNext w:val="0"/>
              <w:keepLines w:val="0"/>
              <w:widowControl/>
              <w:suppressLineNumbers w:val="0"/>
              <w:spacing w:after="0" w:line="36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100</w:t>
            </w:r>
            <w:r>
              <w:rPr>
                <w:rStyle w:val="11"/>
                <w:rFonts w:hint="default" w:ascii="Times New Roman" w:hAnsi="Times New Roman" w:eastAsia="仿宋_GB2312" w:cs="Times New Roman"/>
                <w:sz w:val="24"/>
                <w:szCs w:val="24"/>
                <w:highlight w:val="none"/>
                <w:lang w:val="en-US" w:eastAsia="zh-CN" w:bidi="ar"/>
              </w:rPr>
              <w:t>元/人</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D856F2E">
            <w:pPr>
              <w:spacing w:after="0" w:line="360" w:lineRule="exact"/>
              <w:jc w:val="center"/>
              <w:rPr>
                <w:rFonts w:hint="default" w:ascii="Times New Roman" w:hAnsi="Times New Roman" w:eastAsia="仿宋_GB2312" w:cs="Times New Roman"/>
                <w:i w:val="0"/>
                <w:color w:val="000000"/>
                <w:sz w:val="24"/>
                <w:szCs w:val="24"/>
                <w:highlight w:val="none"/>
                <w:u w:val="none"/>
              </w:rPr>
            </w:pPr>
          </w:p>
        </w:tc>
      </w:tr>
    </w:tbl>
    <w:p w14:paraId="3C1A513E">
      <w:pPr>
        <w:spacing w:line="560" w:lineRule="exact"/>
        <w:ind w:right="-4" w:rightChars="-2"/>
        <w:rPr>
          <w:rFonts w:hint="eastAsia" w:ascii="Times New Roman" w:hAnsi="Times New Roman" w:eastAsia="仿宋_GB2312"/>
          <w:color w:val="FF0000"/>
          <w:sz w:val="32"/>
          <w:szCs w:val="32"/>
        </w:rPr>
      </w:pPr>
    </w:p>
    <w:p w14:paraId="0DA8505A">
      <w:pPr>
        <w:spacing w:line="20" w:lineRule="exact"/>
        <w:ind w:right="0" w:rightChars="0"/>
        <w:rPr>
          <w:rFonts w:hint="eastAsia" w:ascii="Times New Roman" w:hAnsi="Times New Roman"/>
        </w:rPr>
      </w:pPr>
    </w:p>
    <w:p w14:paraId="44213180">
      <w:pPr>
        <w:pStyle w:val="2"/>
        <w:numPr>
          <w:ilvl w:val="0"/>
          <w:numId w:val="1"/>
        </w:numPr>
        <w:ind w:left="720" w:leftChars="0" w:firstLine="0" w:firstLineChars="0"/>
        <w:rPr>
          <w:rFonts w:hint="eastAsia"/>
          <w:lang w:val="en-US" w:eastAsia="zh-CN"/>
        </w:rPr>
      </w:pPr>
    </w:p>
    <w:p w14:paraId="2F4A946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Times New Roman" w:hAnsi="Times New Roman"/>
        </w:rPr>
      </w:pPr>
    </w:p>
    <w:p w14:paraId="57BE578B">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8CF001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09225"/>
    <w:multiLevelType w:val="singleLevel"/>
    <w:tmpl w:val="E3209225"/>
    <w:lvl w:ilvl="0" w:tentative="0">
      <w:start w:val="2"/>
      <w:numFmt w:val="decimal"/>
      <w:suff w:val="space"/>
      <w:lvlText w:val="%1."/>
      <w:lvlJc w:val="left"/>
      <w:pPr>
        <w:ind w:left="7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12821"/>
    <w:rsid w:val="04DC5D07"/>
    <w:rsid w:val="0747037F"/>
    <w:rsid w:val="25936138"/>
    <w:rsid w:val="27661BCC"/>
    <w:rsid w:val="30586CDF"/>
    <w:rsid w:val="39AF4375"/>
    <w:rsid w:val="421870EC"/>
    <w:rsid w:val="448E5DB0"/>
    <w:rsid w:val="543D59C1"/>
    <w:rsid w:val="54B7103C"/>
    <w:rsid w:val="596B0B42"/>
    <w:rsid w:val="5C55389A"/>
    <w:rsid w:val="609238CF"/>
    <w:rsid w:val="617D7D73"/>
    <w:rsid w:val="63365D26"/>
    <w:rsid w:val="642B3664"/>
    <w:rsid w:val="79862E57"/>
    <w:rsid w:val="7A91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paragraph" w:customStyle="1" w:styleId="10">
    <w:name w:val="Char Char Char Char"/>
    <w:basedOn w:val="1"/>
    <w:qFormat/>
    <w:uiPriority w:val="0"/>
    <w:pPr>
      <w:tabs>
        <w:tab w:val="left" w:pos="425"/>
      </w:tabs>
      <w:ind w:left="425" w:hanging="425"/>
    </w:pPr>
    <w:rPr>
      <w:rFonts w:eastAsia="仿宋_GB2312"/>
      <w:kern w:val="24"/>
      <w:sz w:val="24"/>
    </w:rPr>
  </w:style>
  <w:style w:type="character" w:customStyle="1" w:styleId="11">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2024-03-15T01:54:00Z</dcterms:created>
  <dc:creator>dell</dc:creator>
  <cp:lastModifiedBy>dell</cp:lastModifiedBy>
  <dcterms:modified xsi:type="dcterms:W3CDTF">2025-06-10T09:04:12Z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CD8194F5029D4D9F8FF5C0B8F583EEB7</vt:lpwstr>
  </property>
</Properties>
</file>