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60" w:lineRule="exact"/>
        <w:rPr>
          <w:rFonts w:ascii="Times New Roman" w:hAnsi="Times New Roman" w:cs="Times New Roman"/>
          <w:color w:val="000000"/>
          <w:sz w:val="24"/>
        </w:rPr>
      </w:pPr>
      <w:bookmarkStart w:id="13" w:name="_GoBack"/>
      <w:bookmarkEnd w:id="13"/>
      <w:bookmarkStart w:id="0" w:name="_Hlk110948188"/>
      <w:r>
        <w:rPr>
          <w:rFonts w:ascii="Times New Roman" w:hAnsi="Times New Roman" w:cs="Times New Roman"/>
          <w:color w:val="000000"/>
        </w:rPr>
        <mc:AlternateContent>
          <mc:Choice Requires="wps">
            <w:drawing>
              <wp:anchor distT="0" distB="0" distL="114300" distR="114300" simplePos="0" relativeHeight="251660288" behindDoc="0" locked="0" layoutInCell="1" allowOverlap="1">
                <wp:simplePos x="0" y="0"/>
                <wp:positionH relativeFrom="column">
                  <wp:posOffset>3799840</wp:posOffset>
                </wp:positionH>
                <wp:positionV relativeFrom="paragraph">
                  <wp:posOffset>45720</wp:posOffset>
                </wp:positionV>
                <wp:extent cx="2095500" cy="447675"/>
                <wp:effectExtent l="0" t="0" r="0" b="952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095500" cy="447675"/>
                        </a:xfrm>
                        <a:prstGeom prst="rect">
                          <a:avLst/>
                        </a:prstGeom>
                        <a:noFill/>
                        <a:ln>
                          <a:noFill/>
                        </a:ln>
                      </wps:spPr>
                      <wps:txbx>
                        <w:txbxContent>
                          <w:p>
                            <w:pPr>
                              <w:spacing w:line="170" w:lineRule="exact"/>
                              <w:jc w:val="distribute"/>
                              <w:rPr>
                                <w:rFonts w:ascii="Times New Roman" w:hAnsi="Times New Roman" w:cs="Times New Roman"/>
                                <w:sz w:val="16"/>
                                <w:szCs w:val="16"/>
                              </w:rPr>
                            </w:pPr>
                            <w:r>
                              <w:rPr>
                                <w:rFonts w:hint="eastAsia" w:ascii="华文中宋" w:hAnsi="华文中宋" w:eastAsia="华文中宋"/>
                                <w:sz w:val="16"/>
                                <w:szCs w:val="16"/>
                              </w:rPr>
                              <w:t>电话</w:t>
                            </w:r>
                            <w:r>
                              <w:rPr>
                                <w:rFonts w:ascii="华文中宋" w:hAnsi="华文中宋" w:eastAsia="华文中宋"/>
                                <w:sz w:val="16"/>
                                <w:szCs w:val="16"/>
                              </w:rPr>
                              <w:t>：</w:t>
                            </w:r>
                            <w:r>
                              <w:rPr>
                                <w:rFonts w:ascii="Times New Roman" w:hAnsi="Times New Roman" w:eastAsia="楷体_GB2312" w:cs="Times New Roman"/>
                                <w:sz w:val="16"/>
                                <w:szCs w:val="16"/>
                              </w:rPr>
                              <w:t>(020)84632686 84632416 84633015</w:t>
                            </w:r>
                          </w:p>
                          <w:p>
                            <w:pPr>
                              <w:spacing w:line="170" w:lineRule="exact"/>
                              <w:jc w:val="distribute"/>
                              <w:rPr>
                                <w:rFonts w:ascii="Times New Roman" w:hAnsi="Times New Roman" w:cs="Times New Roman"/>
                                <w:sz w:val="16"/>
                                <w:szCs w:val="16"/>
                              </w:rPr>
                            </w:pPr>
                            <w:r>
                              <w:rPr>
                                <w:rFonts w:ascii="Times New Roman" w:hAnsi="Times New Roman" w:eastAsia="华文中宋" w:cs="Times New Roman"/>
                                <w:sz w:val="16"/>
                                <w:szCs w:val="16"/>
                              </w:rPr>
                              <w:t>传真：</w:t>
                            </w:r>
                            <w:r>
                              <w:rPr>
                                <w:rFonts w:ascii="Times New Roman" w:hAnsi="Times New Roman" w:eastAsia="楷体_GB2312" w:cs="Times New Roman"/>
                                <w:sz w:val="16"/>
                                <w:szCs w:val="16"/>
                              </w:rPr>
                              <w:t>(020)84613097转分机 或 84632351</w:t>
                            </w:r>
                          </w:p>
                          <w:p>
                            <w:pPr>
                              <w:pStyle w:val="3"/>
                              <w:spacing w:line="170" w:lineRule="exact"/>
                              <w:ind w:left="0" w:leftChars="0"/>
                              <w:rPr>
                                <w:sz w:val="16"/>
                                <w:szCs w:val="16"/>
                              </w:rPr>
                            </w:pPr>
                            <w:r>
                              <w:rPr>
                                <w:rFonts w:eastAsia="华文中宋"/>
                                <w:spacing w:val="5"/>
                                <w:sz w:val="16"/>
                                <w:szCs w:val="16"/>
                              </w:rPr>
                              <w:t>网址：</w:t>
                            </w:r>
                            <w:r>
                              <w:rPr>
                                <w:rFonts w:eastAsia="楷体_GB2312"/>
                                <w:sz w:val="16"/>
                                <w:szCs w:val="16"/>
                              </w:rPr>
                              <w:t>http://www.gzyeqin.com</w:t>
                            </w:r>
                          </w:p>
                          <w:p>
                            <w:pPr>
                              <w:pStyle w:val="3"/>
                              <w:spacing w:line="170" w:lineRule="exact"/>
                              <w:ind w:left="0" w:leftChars="0"/>
                              <w:rPr>
                                <w:rFonts w:eastAsia="楷体_GB2312"/>
                                <w:spacing w:val="20"/>
                                <w:sz w:val="16"/>
                                <w:szCs w:val="16"/>
                              </w:rPr>
                            </w:pPr>
                            <w:r>
                              <w:rPr>
                                <w:rFonts w:hint="eastAsia" w:ascii="华文中宋" w:hAnsi="华文中宋" w:eastAsia="华文中宋"/>
                                <w:sz w:val="16"/>
                                <w:szCs w:val="16"/>
                              </w:rPr>
                              <w:t>电子邮箱</w:t>
                            </w:r>
                            <w:r>
                              <w:rPr>
                                <w:rFonts w:ascii="华文中宋" w:hAnsi="华文中宋" w:eastAsia="华文中宋"/>
                                <w:sz w:val="16"/>
                                <w:szCs w:val="16"/>
                              </w:rPr>
                              <w:t>：</w:t>
                            </w:r>
                            <w:r>
                              <w:rPr>
                                <w:rFonts w:eastAsia="楷体_GB2312"/>
                                <w:sz w:val="16"/>
                                <w:szCs w:val="16"/>
                              </w:rPr>
                              <w:t>gzyeqin@vip.163.com</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299.2pt;margin-top:3.6pt;height:35.25pt;width:165pt;z-index:251660288;mso-width-relative:page;mso-height-relative:page;" filled="f" stroked="f" coordsize="21600,21600" o:gfxdata="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UtNa&#10;UtYAAAAIAQAADwAAAAAAAAABACAAAAA4AAAAZHJzL2Rvd25yZXYueG1sUEsBAhQAFAAAAAgAh07i&#10;QElJlpMOAgAABQQAAA4AAAAAAAAAAQAgAAAAOwEAAGRycy9lMm9Eb2MueG1sUEsFBgAAAAAGAAYA&#10;WQEAALsFAAAAAA==&#10;">
                <v:fill on="f" focussize="0,0"/>
                <v:stroke on="f"/>
                <v:imagedata o:title=""/>
                <o:lock v:ext="edit" aspectratio="f"/>
                <v:textbox inset="0mm,0mm,0mm,0mm">
                  <w:txbxContent>
                    <w:p>
                      <w:pPr>
                        <w:spacing w:line="170" w:lineRule="exact"/>
                        <w:jc w:val="distribute"/>
                        <w:rPr>
                          <w:rFonts w:ascii="Times New Roman" w:hAnsi="Times New Roman" w:cs="Times New Roman"/>
                          <w:sz w:val="16"/>
                          <w:szCs w:val="16"/>
                        </w:rPr>
                      </w:pPr>
                      <w:r>
                        <w:rPr>
                          <w:rFonts w:hint="eastAsia" w:ascii="华文中宋" w:hAnsi="华文中宋" w:eastAsia="华文中宋"/>
                          <w:sz w:val="16"/>
                          <w:szCs w:val="16"/>
                        </w:rPr>
                        <w:t>电话</w:t>
                      </w:r>
                      <w:r>
                        <w:rPr>
                          <w:rFonts w:ascii="华文中宋" w:hAnsi="华文中宋" w:eastAsia="华文中宋"/>
                          <w:sz w:val="16"/>
                          <w:szCs w:val="16"/>
                        </w:rPr>
                        <w:t>：</w:t>
                      </w:r>
                      <w:r>
                        <w:rPr>
                          <w:rFonts w:ascii="Times New Roman" w:hAnsi="Times New Roman" w:eastAsia="楷体_GB2312" w:cs="Times New Roman"/>
                          <w:sz w:val="16"/>
                          <w:szCs w:val="16"/>
                        </w:rPr>
                        <w:t>(020)84632686 84632416 84633015</w:t>
                      </w:r>
                    </w:p>
                    <w:p>
                      <w:pPr>
                        <w:spacing w:line="170" w:lineRule="exact"/>
                        <w:jc w:val="distribute"/>
                        <w:rPr>
                          <w:rFonts w:ascii="Times New Roman" w:hAnsi="Times New Roman" w:cs="Times New Roman"/>
                          <w:sz w:val="16"/>
                          <w:szCs w:val="16"/>
                        </w:rPr>
                      </w:pPr>
                      <w:r>
                        <w:rPr>
                          <w:rFonts w:ascii="Times New Roman" w:hAnsi="Times New Roman" w:eastAsia="华文中宋" w:cs="Times New Roman"/>
                          <w:sz w:val="16"/>
                          <w:szCs w:val="16"/>
                        </w:rPr>
                        <w:t>传真：</w:t>
                      </w:r>
                      <w:r>
                        <w:rPr>
                          <w:rFonts w:ascii="Times New Roman" w:hAnsi="Times New Roman" w:eastAsia="楷体_GB2312" w:cs="Times New Roman"/>
                          <w:sz w:val="16"/>
                          <w:szCs w:val="16"/>
                        </w:rPr>
                        <w:t>(020)84613097转分机 或 84632351</w:t>
                      </w:r>
                    </w:p>
                    <w:p>
                      <w:pPr>
                        <w:pStyle w:val="3"/>
                        <w:spacing w:line="170" w:lineRule="exact"/>
                        <w:ind w:left="0" w:leftChars="0"/>
                        <w:rPr>
                          <w:sz w:val="16"/>
                          <w:szCs w:val="16"/>
                        </w:rPr>
                      </w:pPr>
                      <w:r>
                        <w:rPr>
                          <w:rFonts w:eastAsia="华文中宋"/>
                          <w:spacing w:val="5"/>
                          <w:sz w:val="16"/>
                          <w:szCs w:val="16"/>
                        </w:rPr>
                        <w:t>网址：</w:t>
                      </w:r>
                      <w:r>
                        <w:rPr>
                          <w:rFonts w:eastAsia="楷体_GB2312"/>
                          <w:sz w:val="16"/>
                          <w:szCs w:val="16"/>
                        </w:rPr>
                        <w:t>http://www.gzyeqin.com</w:t>
                      </w:r>
                    </w:p>
                    <w:p>
                      <w:pPr>
                        <w:pStyle w:val="3"/>
                        <w:spacing w:line="170" w:lineRule="exact"/>
                        <w:ind w:left="0" w:leftChars="0"/>
                        <w:rPr>
                          <w:rFonts w:eastAsia="楷体_GB2312"/>
                          <w:spacing w:val="20"/>
                          <w:sz w:val="16"/>
                          <w:szCs w:val="16"/>
                        </w:rPr>
                      </w:pPr>
                      <w:r>
                        <w:rPr>
                          <w:rFonts w:hint="eastAsia" w:ascii="华文中宋" w:hAnsi="华文中宋" w:eastAsia="华文中宋"/>
                          <w:sz w:val="16"/>
                          <w:szCs w:val="16"/>
                        </w:rPr>
                        <w:t>电子邮箱</w:t>
                      </w:r>
                      <w:r>
                        <w:rPr>
                          <w:rFonts w:ascii="华文中宋" w:hAnsi="华文中宋" w:eastAsia="华文中宋"/>
                          <w:sz w:val="16"/>
                          <w:szCs w:val="16"/>
                        </w:rPr>
                        <w:t>：</w:t>
                      </w:r>
                      <w:r>
                        <w:rPr>
                          <w:rFonts w:eastAsia="楷体_GB2312"/>
                          <w:sz w:val="16"/>
                          <w:szCs w:val="16"/>
                        </w:rPr>
                        <w:t>gzyeqin@vip.163.com</w:t>
                      </w:r>
                    </w:p>
                  </w:txbxContent>
                </v:textbox>
              </v:shape>
            </w:pict>
          </mc:Fallback>
        </mc:AlternateContent>
      </w:r>
      <w:r>
        <w:rPr>
          <w:rFonts w:ascii="Times New Roman" w:hAnsi="Times New Roman" w:cs="Times New Roman"/>
          <w:color w:val="000000"/>
        </w:rPr>
        <mc:AlternateContent>
          <mc:Choice Requires="wps">
            <w:drawing>
              <wp:anchor distT="0" distB="0" distL="114300" distR="114300" simplePos="0" relativeHeight="251659264" behindDoc="0" locked="0" layoutInCell="1" allowOverlap="1">
                <wp:simplePos x="0" y="0"/>
                <wp:positionH relativeFrom="column">
                  <wp:posOffset>-16510</wp:posOffset>
                </wp:positionH>
                <wp:positionV relativeFrom="paragraph">
                  <wp:posOffset>525145</wp:posOffset>
                </wp:positionV>
                <wp:extent cx="593979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593979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1.3pt;margin-top:41.35pt;height:0pt;width:467.7pt;z-index:251659264;mso-width-relative:page;mso-height-relative:page;" filled="f" stroked="t" coordsize="21600,21600" o:gfxdata="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WAAAAZHJzL1BL&#10;AQIUABQAAAAIAIdO4kDvaPlv1wAAAAgBAAAPAAAAAAAAAAEAIAAAADgAAABkcnMvZG93bnJldi54&#10;bWxQSwECFAAUAAAACACHTuJA+HnYAuUBAACrAwAADgAAAAAAAAABACAAAAA8AQAAZHJzL2Uyb0Rv&#10;Yy54bWxQSwUGAAAAAAYABgBZAQAAkwUAAAAA&#10;">
                <v:fill on="f" focussize="0,0"/>
                <v:stroke weight="1pt" color="#000000" joinstyle="round"/>
                <v:imagedata o:title=""/>
                <o:lock v:ext="edit" aspectratio="f"/>
              </v:line>
            </w:pict>
          </mc:Fallback>
        </mc:AlternateContent>
      </w:r>
      <w:r>
        <w:rPr>
          <w:rFonts w:ascii="Times New Roman" w:hAnsi="Times New Roman" w:cs="Times New Roman"/>
          <w:color w:val="000000"/>
        </w:rPr>
        <w:drawing>
          <wp:anchor distT="0" distB="0" distL="114300" distR="114300" simplePos="0" relativeHeight="251663360" behindDoc="0" locked="0" layoutInCell="1" allowOverlap="1">
            <wp:simplePos x="0" y="0"/>
            <wp:positionH relativeFrom="column">
              <wp:posOffset>57785</wp:posOffset>
            </wp:positionH>
            <wp:positionV relativeFrom="paragraph">
              <wp:posOffset>17145</wp:posOffset>
            </wp:positionV>
            <wp:extent cx="602615" cy="465455"/>
            <wp:effectExtent l="0" t="0" r="6985" b="0"/>
            <wp:wrapNone/>
            <wp:docPr id="4" name="图片 4" descr="YeQi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YeQin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602615" cy="465455"/>
                    </a:xfrm>
                    <a:prstGeom prst="rect">
                      <a:avLst/>
                    </a:prstGeom>
                    <a:noFill/>
                    <a:ln>
                      <a:noFill/>
                    </a:ln>
                  </pic:spPr>
                </pic:pic>
              </a:graphicData>
            </a:graphic>
          </wp:anchor>
        </w:drawing>
      </w:r>
      <w:r>
        <w:rPr>
          <w:rFonts w:ascii="Times New Roman" w:hAnsi="Times New Roman" w:cs="Times New Roman"/>
          <w:color w:val="000000"/>
        </w:rPr>
        <mc:AlternateContent>
          <mc:Choice Requires="wps">
            <w:drawing>
              <wp:anchor distT="0" distB="0" distL="114300" distR="114300" simplePos="0" relativeHeight="251661312" behindDoc="0" locked="0" layoutInCell="1" allowOverlap="1">
                <wp:simplePos x="0" y="0"/>
                <wp:positionH relativeFrom="column">
                  <wp:posOffset>699770</wp:posOffset>
                </wp:positionH>
                <wp:positionV relativeFrom="paragraph">
                  <wp:posOffset>56515</wp:posOffset>
                </wp:positionV>
                <wp:extent cx="3022600" cy="270510"/>
                <wp:effectExtent l="0" t="0" r="6350" b="1524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3022600" cy="270510"/>
                        </a:xfrm>
                        <a:prstGeom prst="rect">
                          <a:avLst/>
                        </a:prstGeom>
                        <a:noFill/>
                        <a:ln>
                          <a:noFill/>
                        </a:ln>
                      </wps:spPr>
                      <wps:txbx>
                        <w:txbxContent>
                          <w:p>
                            <w:pPr>
                              <w:spacing w:line="400" w:lineRule="exact"/>
                              <w:jc w:val="distribute"/>
                              <w:rPr>
                                <w:rFonts w:ascii="华文新魏" w:eastAsia="华文新魏"/>
                                <w:spacing w:val="-20"/>
                                <w:w w:val="95"/>
                                <w:sz w:val="40"/>
                                <w:szCs w:val="40"/>
                              </w:rPr>
                            </w:pPr>
                            <w:r>
                              <w:rPr>
                                <w:rFonts w:hint="eastAsia" w:ascii="华文新魏" w:eastAsia="华文新魏"/>
                                <w:spacing w:val="-20"/>
                                <w:w w:val="95"/>
                                <w:sz w:val="40"/>
                                <w:szCs w:val="40"/>
                              </w:rPr>
                              <w:t>广州业勤会计师事务所有限公司</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55.1pt;margin-top:4.45pt;height:21.3pt;width:238pt;z-index:251661312;mso-width-relative:page;mso-height-relative:page;" filled="f" stroked="f" coordsize="21600,21600" o:gfxdata="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Bw1SlU&#10;1gAAAAgBAAAPAAAAAAAAAAEAIAAAADgAAABkcnMvZG93bnJldi54bWxQSwECFAAUAAAACACHTuJA&#10;PloZvQ0CAAAFBAAADgAAAAAAAAABACAAAAA7AQAAZHJzL2Uyb0RvYy54bWxQSwUGAAAAAAYABgBZ&#10;AQAAugUAAAAA&#10;">
                <v:fill on="f" focussize="0,0"/>
                <v:stroke on="f"/>
                <v:imagedata o:title=""/>
                <o:lock v:ext="edit" aspectratio="f"/>
                <v:textbox inset="0mm,0mm,0mm,0mm">
                  <w:txbxContent>
                    <w:p>
                      <w:pPr>
                        <w:spacing w:line="400" w:lineRule="exact"/>
                        <w:jc w:val="distribute"/>
                        <w:rPr>
                          <w:rFonts w:ascii="华文新魏" w:eastAsia="华文新魏"/>
                          <w:spacing w:val="-20"/>
                          <w:w w:val="95"/>
                          <w:sz w:val="40"/>
                          <w:szCs w:val="40"/>
                        </w:rPr>
                      </w:pPr>
                      <w:r>
                        <w:rPr>
                          <w:rFonts w:hint="eastAsia" w:ascii="华文新魏" w:eastAsia="华文新魏"/>
                          <w:spacing w:val="-20"/>
                          <w:w w:val="95"/>
                          <w:sz w:val="40"/>
                          <w:szCs w:val="40"/>
                        </w:rPr>
                        <w:t>广州业勤会计师事务所有限公司</w:t>
                      </w:r>
                    </w:p>
                  </w:txbxContent>
                </v:textbox>
              </v:shape>
            </w:pict>
          </mc:Fallback>
        </mc:AlternateContent>
      </w:r>
      <w:r>
        <w:rPr>
          <w:rFonts w:ascii="Times New Roman" w:hAnsi="Times New Roman" w:cs="Times New Roman"/>
          <w:color w:val="000000"/>
        </w:rPr>
        <mc:AlternateContent>
          <mc:Choice Requires="wps">
            <w:drawing>
              <wp:anchor distT="0" distB="0" distL="114300" distR="114300" simplePos="0" relativeHeight="251662336" behindDoc="0" locked="0" layoutInCell="1" allowOverlap="1">
                <wp:simplePos x="0" y="0"/>
                <wp:positionH relativeFrom="column">
                  <wp:posOffset>745490</wp:posOffset>
                </wp:positionH>
                <wp:positionV relativeFrom="paragraph">
                  <wp:posOffset>335915</wp:posOffset>
                </wp:positionV>
                <wp:extent cx="2940050" cy="160020"/>
                <wp:effectExtent l="0" t="0" r="12700" b="1143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940050" cy="160020"/>
                        </a:xfrm>
                        <a:prstGeom prst="rect">
                          <a:avLst/>
                        </a:prstGeom>
                        <a:noFill/>
                        <a:ln>
                          <a:noFill/>
                        </a:ln>
                      </wps:spPr>
                      <wps:txbx>
                        <w:txbxContent>
                          <w:p>
                            <w:pPr>
                              <w:spacing w:line="220" w:lineRule="exact"/>
                              <w:jc w:val="distribute"/>
                              <w:rPr>
                                <w:rFonts w:ascii="楷体" w:hAnsi="楷体" w:eastAsia="楷体"/>
                                <w:spacing w:val="-8"/>
                                <w:sz w:val="16"/>
                                <w:szCs w:val="16"/>
                              </w:rPr>
                            </w:pPr>
                            <w:r>
                              <w:rPr>
                                <w:rFonts w:hint="eastAsia" w:ascii="楷体" w:hAnsi="楷体" w:eastAsia="楷体"/>
                                <w:spacing w:val="-8"/>
                                <w:sz w:val="16"/>
                                <w:szCs w:val="16"/>
                              </w:rPr>
                              <w:t>办公地址：</w:t>
                            </w:r>
                            <w:r>
                              <w:rPr>
                                <w:rFonts w:ascii="楷体" w:hAnsi="楷体" w:eastAsia="楷体"/>
                                <w:spacing w:val="-8"/>
                                <w:sz w:val="16"/>
                                <w:szCs w:val="16"/>
                              </w:rPr>
                              <w:t>广州市番禺区惠众街21号十一楼　</w:t>
                            </w:r>
                            <w:r>
                              <w:rPr>
                                <w:rFonts w:hint="eastAsia" w:ascii="楷体" w:hAnsi="楷体" w:eastAsia="楷体"/>
                                <w:sz w:val="16"/>
                                <w:szCs w:val="16"/>
                              </w:rPr>
                              <w:t>邮编：</w:t>
                            </w:r>
                            <w:r>
                              <w:rPr>
                                <w:rFonts w:ascii="楷体" w:hAnsi="楷体" w:eastAsia="楷体"/>
                                <w:sz w:val="16"/>
                                <w:szCs w:val="16"/>
                              </w:rPr>
                              <w:t>5114</w:t>
                            </w:r>
                            <w:r>
                              <w:rPr>
                                <w:rFonts w:hint="eastAsia" w:ascii="楷体" w:hAnsi="楷体" w:eastAsia="楷体"/>
                                <w:sz w:val="16"/>
                                <w:szCs w:val="16"/>
                              </w:rPr>
                              <w:t>00</w:t>
                            </w:r>
                          </w:p>
                          <w:p>
                            <w:pPr>
                              <w:spacing w:line="220" w:lineRule="exact"/>
                              <w:jc w:val="distribute"/>
                              <w:rPr>
                                <w:rFonts w:ascii="宋体" w:hAnsi="宋体"/>
                                <w:spacing w:val="-8"/>
                                <w:sz w:val="16"/>
                                <w:szCs w:val="16"/>
                              </w:rPr>
                            </w:pP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58.7pt;margin-top:26.45pt;height:12.6pt;width:231.5pt;z-index:251662336;mso-width-relative:page;mso-height-relative:page;" filled="f" stroked="f" coordsize="21600,21600" o:gfxdata="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U6+&#10;+tgAAAAJAQAADwAAAAAAAAABACAAAAA4AAAAZHJzL2Rvd25yZXYueG1sUEsBAhQAFAAAAAgAh07i&#10;QKXuavgMAgAABQQAAA4AAAAAAAAAAQAgAAAAPQEAAGRycy9lMm9Eb2MueG1sUEsFBgAAAAAGAAYA&#10;WQEAALsFAAAAAA==&#10;">
                <v:fill on="f" focussize="0,0"/>
                <v:stroke on="f"/>
                <v:imagedata o:title=""/>
                <o:lock v:ext="edit" aspectratio="f"/>
                <v:textbox inset="0mm,0mm,0mm,0mm">
                  <w:txbxContent>
                    <w:p>
                      <w:pPr>
                        <w:spacing w:line="220" w:lineRule="exact"/>
                        <w:jc w:val="distribute"/>
                        <w:rPr>
                          <w:rFonts w:ascii="楷体" w:hAnsi="楷体" w:eastAsia="楷体"/>
                          <w:spacing w:val="-8"/>
                          <w:sz w:val="16"/>
                          <w:szCs w:val="16"/>
                        </w:rPr>
                      </w:pPr>
                      <w:r>
                        <w:rPr>
                          <w:rFonts w:hint="eastAsia" w:ascii="楷体" w:hAnsi="楷体" w:eastAsia="楷体"/>
                          <w:spacing w:val="-8"/>
                          <w:sz w:val="16"/>
                          <w:szCs w:val="16"/>
                        </w:rPr>
                        <w:t>办公地址：</w:t>
                      </w:r>
                      <w:r>
                        <w:rPr>
                          <w:rFonts w:ascii="楷体" w:hAnsi="楷体" w:eastAsia="楷体"/>
                          <w:spacing w:val="-8"/>
                          <w:sz w:val="16"/>
                          <w:szCs w:val="16"/>
                        </w:rPr>
                        <w:t>广州市番禺区惠众街21号十一楼　</w:t>
                      </w:r>
                      <w:r>
                        <w:rPr>
                          <w:rFonts w:hint="eastAsia" w:ascii="楷体" w:hAnsi="楷体" w:eastAsia="楷体"/>
                          <w:sz w:val="16"/>
                          <w:szCs w:val="16"/>
                        </w:rPr>
                        <w:t>邮编：</w:t>
                      </w:r>
                      <w:r>
                        <w:rPr>
                          <w:rFonts w:ascii="楷体" w:hAnsi="楷体" w:eastAsia="楷体"/>
                          <w:sz w:val="16"/>
                          <w:szCs w:val="16"/>
                        </w:rPr>
                        <w:t>5114</w:t>
                      </w:r>
                      <w:r>
                        <w:rPr>
                          <w:rFonts w:hint="eastAsia" w:ascii="楷体" w:hAnsi="楷体" w:eastAsia="楷体"/>
                          <w:sz w:val="16"/>
                          <w:szCs w:val="16"/>
                        </w:rPr>
                        <w:t>00</w:t>
                      </w:r>
                    </w:p>
                    <w:p>
                      <w:pPr>
                        <w:spacing w:line="220" w:lineRule="exact"/>
                        <w:jc w:val="distribute"/>
                        <w:rPr>
                          <w:rFonts w:ascii="宋体" w:hAnsi="宋体"/>
                          <w:spacing w:val="-8"/>
                          <w:sz w:val="16"/>
                          <w:szCs w:val="16"/>
                        </w:rPr>
                      </w:pPr>
                    </w:p>
                  </w:txbxContent>
                </v:textbox>
              </v:shape>
            </w:pict>
          </mc:Fallback>
        </mc:AlternateContent>
      </w:r>
    </w:p>
    <w:p>
      <w:pPr>
        <w:spacing w:line="300" w:lineRule="exact"/>
        <w:ind w:left="6300" w:leftChars="3000" w:right="15" w:rightChars="7" w:firstLine="117" w:firstLineChars="42"/>
        <w:jc w:val="right"/>
        <w:rPr>
          <w:rFonts w:ascii="Times New Roman" w:hAnsi="Times New Roman" w:eastAsia="仿宋_GB2312" w:cs="Times New Roman"/>
          <w:color w:val="000000"/>
          <w:sz w:val="28"/>
          <w:szCs w:val="28"/>
        </w:rPr>
      </w:pPr>
      <w:bookmarkStart w:id="1" w:name="_Hlk110948178"/>
      <w:r>
        <w:rPr>
          <w:rFonts w:ascii="Times New Roman" w:hAnsi="Times New Roman" w:eastAsia="仿宋_GB2312" w:cs="Times New Roman"/>
          <w:color w:val="000000"/>
          <w:sz w:val="28"/>
          <w:szCs w:val="28"/>
        </w:rPr>
        <w:t>业会专审[202</w:t>
      </w:r>
      <w:r>
        <w:rPr>
          <w:rFonts w:hint="eastAsia" w:ascii="Times New Roman" w:hAnsi="Times New Roman" w:eastAsia="仿宋_GB2312" w:cs="Times New Roman"/>
          <w:color w:val="000000"/>
          <w:sz w:val="28"/>
          <w:szCs w:val="28"/>
        </w:rPr>
        <w:t>5</w:t>
      </w:r>
      <w:r>
        <w:rPr>
          <w:rFonts w:ascii="Times New Roman" w:hAnsi="Times New Roman" w:eastAsia="仿宋_GB2312" w:cs="Times New Roman"/>
          <w:color w:val="000000"/>
          <w:sz w:val="28"/>
          <w:szCs w:val="28"/>
        </w:rPr>
        <w:t>]</w:t>
      </w:r>
      <w:r>
        <w:rPr>
          <w:rFonts w:hint="eastAsia" w:ascii="Times New Roman" w:hAnsi="Times New Roman" w:eastAsia="仿宋_GB2312" w:cs="Times New Roman"/>
          <w:color w:val="000000"/>
          <w:sz w:val="28"/>
          <w:szCs w:val="28"/>
        </w:rPr>
        <w:t>316</w:t>
      </w:r>
      <w:r>
        <w:rPr>
          <w:rFonts w:ascii="Times New Roman" w:hAnsi="Times New Roman" w:eastAsia="仿宋_GB2312" w:cs="Times New Roman"/>
          <w:color w:val="000000"/>
          <w:sz w:val="28"/>
          <w:szCs w:val="28"/>
        </w:rPr>
        <w:t>号</w:t>
      </w:r>
    </w:p>
    <w:bookmarkEnd w:id="0"/>
    <w:bookmarkEnd w:id="1"/>
    <w:p>
      <w:pPr>
        <w:spacing w:line="500" w:lineRule="exact"/>
        <w:ind w:left="6300" w:leftChars="3000" w:right="15" w:rightChars="7" w:firstLine="117" w:firstLineChars="42"/>
        <w:jc w:val="right"/>
        <w:rPr>
          <w:rFonts w:ascii="Times New Roman" w:hAnsi="Times New Roman" w:eastAsia="仿宋_GB2312" w:cs="Times New Roman"/>
          <w:color w:val="000000"/>
          <w:sz w:val="28"/>
          <w:szCs w:val="28"/>
        </w:rPr>
      </w:pPr>
    </w:p>
    <w:p>
      <w:pPr>
        <w:spacing w:line="500" w:lineRule="exact"/>
        <w:jc w:val="center"/>
        <w:rPr>
          <w:rFonts w:ascii="Times New Roman" w:hAnsi="Times New Roman" w:eastAsia="宋体" w:cs="Times New Roman"/>
          <w:b/>
          <w:sz w:val="28"/>
          <w:szCs w:val="30"/>
        </w:rPr>
      </w:pPr>
      <w:r>
        <w:rPr>
          <w:rFonts w:ascii="Times New Roman" w:hAnsi="Times New Roman" w:eastAsia="宋体" w:cs="Times New Roman"/>
          <w:b/>
          <w:sz w:val="28"/>
          <w:szCs w:val="30"/>
        </w:rPr>
        <w:t>关于对</w:t>
      </w:r>
      <w:r>
        <w:rPr>
          <w:rFonts w:hint="eastAsia" w:ascii="Times New Roman" w:hAnsi="Times New Roman" w:eastAsia="宋体" w:cs="Times New Roman"/>
          <w:b/>
          <w:sz w:val="28"/>
          <w:szCs w:val="30"/>
        </w:rPr>
        <w:t>广州市番禺区石碁镇社工服务站</w:t>
      </w:r>
    </w:p>
    <w:p>
      <w:pPr>
        <w:spacing w:line="500" w:lineRule="exact"/>
        <w:jc w:val="center"/>
        <w:rPr>
          <w:rFonts w:ascii="Times New Roman" w:hAnsi="Times New Roman" w:eastAsia="宋体" w:cs="Times New Roman"/>
          <w:b/>
          <w:sz w:val="28"/>
          <w:szCs w:val="30"/>
        </w:rPr>
      </w:pPr>
      <w:r>
        <w:rPr>
          <w:rFonts w:hint="eastAsia" w:ascii="Times New Roman" w:hAnsi="Times New Roman" w:eastAsia="宋体" w:cs="Times New Roman"/>
          <w:b/>
          <w:sz w:val="28"/>
          <w:szCs w:val="30"/>
        </w:rPr>
        <w:t>2025年2月24日至2025年8月23日</w:t>
      </w:r>
      <w:r>
        <w:rPr>
          <w:rFonts w:ascii="Times New Roman" w:hAnsi="Times New Roman" w:eastAsia="宋体" w:cs="Times New Roman"/>
          <w:b/>
          <w:sz w:val="28"/>
          <w:szCs w:val="30"/>
        </w:rPr>
        <w:t>财务管理情况评估报告</w:t>
      </w:r>
    </w:p>
    <w:p>
      <w:pPr>
        <w:spacing w:line="360" w:lineRule="auto"/>
        <w:jc w:val="center"/>
        <w:rPr>
          <w:rFonts w:ascii="Times New Roman" w:hAnsi="Times New Roman" w:eastAsia="仿宋_GB2312" w:cs="Times New Roman"/>
          <w:sz w:val="28"/>
          <w:szCs w:val="28"/>
        </w:rPr>
      </w:pPr>
    </w:p>
    <w:p>
      <w:pPr>
        <w:spacing w:line="600" w:lineRule="exact"/>
        <w:ind w:right="-8"/>
        <w:rPr>
          <w:rFonts w:ascii="Times New Roman" w:hAnsi="Times New Roman" w:eastAsia="楷体" w:cs="Times New Roman"/>
          <w:b/>
          <w:spacing w:val="-10"/>
          <w:sz w:val="28"/>
          <w:szCs w:val="28"/>
        </w:rPr>
      </w:pPr>
      <w:r>
        <w:rPr>
          <w:rFonts w:ascii="Times New Roman" w:hAnsi="Times New Roman" w:eastAsia="楷体" w:cs="Times New Roman"/>
          <w:b/>
          <w:spacing w:val="-10"/>
          <w:sz w:val="28"/>
          <w:szCs w:val="28"/>
        </w:rPr>
        <w:t>广州市番禺区社区建设指导中心：</w:t>
      </w:r>
    </w:p>
    <w:p>
      <w:pPr>
        <w:spacing w:line="600" w:lineRule="exact"/>
        <w:ind w:right="-6" w:rightChars="-3"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我们接受委托，对</w:t>
      </w:r>
      <w:r>
        <w:rPr>
          <w:rFonts w:hint="eastAsia" w:ascii="Times New Roman" w:hAnsi="Times New Roman" w:eastAsia="仿宋_GB2312" w:cs="Times New Roman"/>
          <w:sz w:val="28"/>
          <w:szCs w:val="28"/>
        </w:rPr>
        <w:t>广州市番禺区石碁镇社工服务站</w:t>
      </w:r>
      <w:r>
        <w:rPr>
          <w:rFonts w:ascii="Times New Roman" w:hAnsi="Times New Roman" w:eastAsia="仿宋_GB2312" w:cs="Times New Roman"/>
          <w:sz w:val="28"/>
          <w:szCs w:val="28"/>
        </w:rPr>
        <w:t>（以下简称</w:t>
      </w:r>
      <w:r>
        <w:rPr>
          <w:rFonts w:hint="eastAsia" w:ascii="Times New Roman" w:hAnsi="Times New Roman" w:eastAsia="仿宋_GB2312" w:cs="Times New Roman"/>
          <w:sz w:val="28"/>
          <w:szCs w:val="28"/>
        </w:rPr>
        <w:t>石碁社工站</w:t>
      </w:r>
      <w:r>
        <w:rPr>
          <w:rFonts w:ascii="Times New Roman" w:hAnsi="Times New Roman" w:eastAsia="仿宋_GB2312" w:cs="Times New Roman"/>
          <w:sz w:val="28"/>
          <w:szCs w:val="28"/>
        </w:rPr>
        <w:t>）</w:t>
      </w:r>
      <w:r>
        <w:rPr>
          <w:rFonts w:hint="eastAsia" w:ascii="Times New Roman" w:hAnsi="Times New Roman" w:eastAsia="仿宋_GB2312" w:cs="Times New Roman"/>
          <w:sz w:val="28"/>
          <w:szCs w:val="28"/>
        </w:rPr>
        <w:t>2025年2月24日至2025年8月23日</w:t>
      </w:r>
      <w:r>
        <w:rPr>
          <w:rFonts w:ascii="Times New Roman" w:hAnsi="Times New Roman" w:eastAsia="仿宋_GB2312" w:cs="Times New Roman"/>
          <w:sz w:val="28"/>
          <w:szCs w:val="28"/>
        </w:rPr>
        <w:t>财务管理情况进行财务评估。</w:t>
      </w:r>
      <w:r>
        <w:rPr>
          <w:rFonts w:ascii="Times New Roman" w:hAnsi="Times New Roman" w:eastAsia="仿宋" w:cs="Times New Roman"/>
          <w:sz w:val="28"/>
          <w:szCs w:val="28"/>
        </w:rPr>
        <w:t>提供真实、合法、完整的会计资料和评估相关资料</w:t>
      </w:r>
      <w:r>
        <w:rPr>
          <w:rFonts w:ascii="Times New Roman" w:hAnsi="Times New Roman" w:eastAsia="仿宋_GB2312" w:cs="Times New Roman"/>
          <w:sz w:val="28"/>
          <w:szCs w:val="28"/>
        </w:rPr>
        <w:t>是</w:t>
      </w:r>
      <w:r>
        <w:rPr>
          <w:rFonts w:hint="eastAsia" w:ascii="Times New Roman" w:hAnsi="Times New Roman" w:eastAsia="仿宋_GB2312" w:cs="Times New Roman"/>
          <w:sz w:val="28"/>
          <w:szCs w:val="28"/>
        </w:rPr>
        <w:t>石碁社工站</w:t>
      </w:r>
      <w:r>
        <w:rPr>
          <w:rFonts w:ascii="Times New Roman" w:hAnsi="Times New Roman" w:eastAsia="仿宋_GB2312" w:cs="Times New Roman"/>
          <w:sz w:val="28"/>
          <w:szCs w:val="28"/>
        </w:rPr>
        <w:t>及其承接机构的责任，</w:t>
      </w:r>
      <w:r>
        <w:rPr>
          <w:rFonts w:ascii="Times New Roman" w:hAnsi="Times New Roman" w:eastAsia="仿宋" w:cs="Times New Roman"/>
          <w:sz w:val="28"/>
          <w:szCs w:val="28"/>
        </w:rPr>
        <w:t>我们的责任是依据《中国注册会计师执业准则》、《中华人民共和国会计法》、《会计基础工作规范》、《民间非营利组织会计制度》、</w:t>
      </w:r>
      <w:bookmarkStart w:id="2" w:name="OLE_LINK3"/>
      <w:r>
        <w:rPr>
          <w:rFonts w:hint="eastAsia" w:ascii="Times New Roman" w:hAnsi="Times New Roman" w:eastAsia="仿宋" w:cs="Times New Roman"/>
          <w:color w:val="000000" w:themeColor="text1"/>
          <w:sz w:val="28"/>
          <w:szCs w:val="28"/>
          <w14:textFill>
            <w14:solidFill>
              <w14:schemeClr w14:val="tx1"/>
            </w14:solidFill>
          </w14:textFill>
        </w:rPr>
        <w:t>《广州市人民政府办公厅关于印发广州市社工服务站管理办法的通知》（穗府办〔2023〕7号）</w:t>
      </w:r>
      <w:bookmarkEnd w:id="2"/>
      <w:r>
        <w:rPr>
          <w:rFonts w:ascii="Times New Roman" w:hAnsi="Times New Roman" w:eastAsia="仿宋" w:cs="Times New Roman"/>
          <w:sz w:val="28"/>
          <w:szCs w:val="28"/>
        </w:rPr>
        <w:t>及</w:t>
      </w:r>
      <w:r>
        <w:rPr>
          <w:rFonts w:hint="eastAsia" w:ascii="Times New Roman" w:hAnsi="Times New Roman" w:eastAsia="仿宋_GB2312" w:cs="Times New Roman"/>
          <w:color w:val="000000" w:themeColor="text1"/>
          <w:sz w:val="28"/>
          <w:szCs w:val="28"/>
          <w14:textFill>
            <w14:solidFill>
              <w14:schemeClr w14:val="tx1"/>
            </w14:solidFill>
          </w14:textFill>
        </w:rPr>
        <w:t>广州市番禺区石碁镇人民政府</w:t>
      </w:r>
      <w:r>
        <w:rPr>
          <w:rFonts w:ascii="Times New Roman" w:hAnsi="Times New Roman" w:eastAsia="仿宋" w:cs="Times New Roman"/>
          <w:sz w:val="28"/>
          <w:szCs w:val="28"/>
        </w:rPr>
        <w:t>与社工服务站承接机构签订的购买服务协议中相关约定，对</w:t>
      </w:r>
      <w:r>
        <w:rPr>
          <w:rFonts w:hint="eastAsia" w:ascii="Times New Roman" w:hAnsi="Times New Roman" w:eastAsia="仿宋_GB2312" w:cs="Times New Roman"/>
          <w:sz w:val="28"/>
          <w:szCs w:val="28"/>
        </w:rPr>
        <w:t>石碁社工站</w:t>
      </w:r>
      <w:r>
        <w:rPr>
          <w:rFonts w:ascii="Times New Roman" w:hAnsi="Times New Roman" w:eastAsia="仿宋" w:cs="Times New Roman"/>
          <w:sz w:val="28"/>
          <w:szCs w:val="28"/>
        </w:rPr>
        <w:t>的财务管理情况进行审核，并出具财务评估报告</w:t>
      </w:r>
      <w:r>
        <w:rPr>
          <w:rFonts w:ascii="Times New Roman" w:hAnsi="Times New Roman" w:eastAsia="仿宋_GB2312" w:cs="Times New Roman"/>
          <w:sz w:val="28"/>
          <w:szCs w:val="28"/>
        </w:rPr>
        <w:t>。</w:t>
      </w:r>
    </w:p>
    <w:p>
      <w:pPr>
        <w:spacing w:line="600" w:lineRule="exact"/>
        <w:ind w:right="-6" w:rightChars="-3" w:firstLine="560" w:firstLineChars="200"/>
        <w:rPr>
          <w:rFonts w:ascii="Times New Roman" w:hAnsi="Times New Roman" w:eastAsia="仿宋_GB2312" w:cs="Times New Roman"/>
          <w:sz w:val="28"/>
          <w:szCs w:val="28"/>
        </w:rPr>
      </w:pPr>
      <w:r>
        <w:rPr>
          <w:rFonts w:ascii="Times New Roman" w:hAnsi="Times New Roman" w:eastAsia="仿宋" w:cs="Times New Roman"/>
          <w:sz w:val="28"/>
          <w:szCs w:val="28"/>
        </w:rPr>
        <w:t>按照中国注册会计师职业道德守则，我们独立于</w:t>
      </w:r>
      <w:r>
        <w:rPr>
          <w:rFonts w:hint="eastAsia" w:ascii="Times New Roman" w:hAnsi="Times New Roman" w:eastAsia="仿宋_GB2312" w:cs="Times New Roman"/>
          <w:sz w:val="28"/>
          <w:szCs w:val="28"/>
        </w:rPr>
        <w:t>石碁社工站</w:t>
      </w:r>
      <w:r>
        <w:rPr>
          <w:rFonts w:ascii="Times New Roman" w:hAnsi="Times New Roman" w:eastAsia="仿宋" w:cs="Times New Roman"/>
          <w:sz w:val="28"/>
          <w:szCs w:val="28"/>
        </w:rPr>
        <w:t>及相关承接机构，并履行了职业道德方面的其他责任。在审核评估过程中，我们结合本项目的实际情况，实施了包括抽查会计记录、听取情况介绍并就相关问题向有关人员进行了询问、查阅部分文件及规章制度资料等我们认为必要的评估程序。我们相信，我们获取的审核证据是充分、适当的，为发表评估意见提供了基础</w:t>
      </w:r>
      <w:r>
        <w:rPr>
          <w:rFonts w:ascii="Times New Roman" w:hAnsi="Times New Roman" w:eastAsia="仿宋_GB2312" w:cs="Times New Roman"/>
          <w:sz w:val="28"/>
          <w:szCs w:val="28"/>
        </w:rPr>
        <w:t>。现将评估结果报告如下：</w:t>
      </w:r>
    </w:p>
    <w:p>
      <w:pPr>
        <w:spacing w:line="600" w:lineRule="exact"/>
        <w:ind w:right="-569" w:rightChars="-271"/>
        <w:outlineLvl w:val="0"/>
        <w:rPr>
          <w:rFonts w:ascii="Times New Roman" w:hAnsi="Times New Roman" w:eastAsia="仿宋_GB2312" w:cs="Times New Roman"/>
          <w:b/>
          <w:sz w:val="28"/>
          <w:szCs w:val="28"/>
        </w:rPr>
      </w:pPr>
      <w:r>
        <w:rPr>
          <w:rFonts w:ascii="Times New Roman" w:hAnsi="Times New Roman" w:eastAsia="仿宋_GB2312" w:cs="Times New Roman"/>
          <w:b/>
          <w:sz w:val="28"/>
          <w:szCs w:val="28"/>
        </w:rPr>
        <w:t>一、</w:t>
      </w:r>
      <w:r>
        <w:rPr>
          <w:rFonts w:hint="eastAsia" w:ascii="Times New Roman" w:hAnsi="Times New Roman" w:eastAsia="仿宋_GB2312" w:cs="Times New Roman"/>
          <w:b/>
          <w:sz w:val="28"/>
          <w:szCs w:val="28"/>
        </w:rPr>
        <w:t>石碁社工站</w:t>
      </w:r>
      <w:r>
        <w:rPr>
          <w:rFonts w:ascii="Times New Roman" w:hAnsi="Times New Roman" w:eastAsia="仿宋_GB2312" w:cs="Times New Roman"/>
          <w:b/>
          <w:sz w:val="28"/>
          <w:szCs w:val="28"/>
        </w:rPr>
        <w:t>基本情况</w:t>
      </w:r>
    </w:p>
    <w:p>
      <w:pPr>
        <w:spacing w:line="620" w:lineRule="exact"/>
        <w:ind w:firstLine="560" w:firstLineChars="200"/>
        <w:outlineLvl w:val="0"/>
        <w:rPr>
          <w:rFonts w:ascii="Times New Roman" w:hAnsi="Times New Roman" w:eastAsia="仿宋_GB2312" w:cs="Times New Roman"/>
          <w:sz w:val="28"/>
          <w:szCs w:val="28"/>
        </w:rPr>
      </w:pPr>
      <w:bookmarkStart w:id="3" w:name="_Hlk110777849"/>
      <w:r>
        <w:rPr>
          <w:rFonts w:hint="eastAsia" w:ascii="Times New Roman" w:hAnsi="Times New Roman" w:eastAsia="仿宋_GB2312" w:cs="Times New Roman"/>
          <w:sz w:val="28"/>
          <w:szCs w:val="28"/>
        </w:rPr>
        <w:t>承接机构名称：</w:t>
      </w:r>
      <w:bookmarkStart w:id="4" w:name="OLE_LINK5"/>
      <w:r>
        <w:rPr>
          <w:rFonts w:hint="eastAsia" w:ascii="Times New Roman" w:hAnsi="Times New Roman" w:eastAsia="仿宋_GB2312" w:cs="Times New Roman"/>
          <w:sz w:val="28"/>
          <w:szCs w:val="28"/>
        </w:rPr>
        <w:t>广州市阳光天使社会工作服务中心</w:t>
      </w:r>
      <w:bookmarkEnd w:id="4"/>
      <w:r>
        <w:rPr>
          <w:rFonts w:hint="eastAsia" w:ascii="Times New Roman" w:hAnsi="Times New Roman" w:eastAsia="仿宋_GB2312" w:cs="Times New Roman"/>
          <w:sz w:val="28"/>
          <w:szCs w:val="28"/>
        </w:rPr>
        <w:t>。</w:t>
      </w:r>
    </w:p>
    <w:p>
      <w:pPr>
        <w:spacing w:line="620" w:lineRule="exact"/>
        <w:ind w:firstLine="560" w:firstLineChars="200"/>
        <w:outlineLvl w:val="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承接机构法定代表人：</w:t>
      </w:r>
      <w:bookmarkStart w:id="5" w:name="OLE_LINK6"/>
      <w:r>
        <w:rPr>
          <w:rFonts w:hint="eastAsia" w:ascii="Times New Roman" w:hAnsi="Times New Roman" w:eastAsia="仿宋_GB2312" w:cs="Times New Roman"/>
          <w:sz w:val="28"/>
          <w:szCs w:val="28"/>
        </w:rPr>
        <w:t>黄佩仪</w:t>
      </w:r>
      <w:bookmarkEnd w:id="5"/>
      <w:r>
        <w:rPr>
          <w:rFonts w:hint="eastAsia" w:ascii="Times New Roman" w:hAnsi="Times New Roman" w:eastAsia="仿宋_GB2312" w:cs="Times New Roman"/>
          <w:sz w:val="28"/>
          <w:szCs w:val="28"/>
        </w:rPr>
        <w:t>。</w:t>
      </w:r>
    </w:p>
    <w:p>
      <w:pPr>
        <w:spacing w:line="590" w:lineRule="exact"/>
        <w:ind w:firstLine="560" w:firstLineChars="200"/>
        <w:outlineLvl w:val="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招标采购周期：</w:t>
      </w:r>
      <w:r>
        <w:rPr>
          <w:rFonts w:ascii="Times New Roman" w:hAnsi="Times New Roman" w:eastAsia="仿宋_GB2312" w:cs="Times New Roman"/>
          <w:sz w:val="28"/>
          <w:szCs w:val="28"/>
        </w:rPr>
        <w:t>2024</w:t>
      </w:r>
      <w:r>
        <w:rPr>
          <w:rFonts w:hint="eastAsia" w:ascii="Times New Roman" w:hAnsi="Times New Roman" w:eastAsia="仿宋_GB2312" w:cs="Times New Roman"/>
          <w:sz w:val="28"/>
          <w:szCs w:val="28"/>
        </w:rPr>
        <w:t>年</w:t>
      </w:r>
      <w:r>
        <w:rPr>
          <w:rFonts w:ascii="Times New Roman" w:hAnsi="Times New Roman" w:eastAsia="仿宋_GB2312" w:cs="Times New Roman"/>
          <w:sz w:val="28"/>
          <w:szCs w:val="28"/>
        </w:rPr>
        <w:t>8</w:t>
      </w:r>
      <w:r>
        <w:rPr>
          <w:rFonts w:hint="eastAsia" w:ascii="Times New Roman" w:hAnsi="Times New Roman" w:eastAsia="仿宋_GB2312" w:cs="Times New Roman"/>
          <w:sz w:val="28"/>
          <w:szCs w:val="28"/>
        </w:rPr>
        <w:t>月24日至</w:t>
      </w:r>
      <w:r>
        <w:rPr>
          <w:rFonts w:ascii="Times New Roman" w:hAnsi="Times New Roman" w:eastAsia="仿宋_GB2312" w:cs="Times New Roman"/>
          <w:sz w:val="28"/>
          <w:szCs w:val="28"/>
        </w:rPr>
        <w:t>2027</w:t>
      </w:r>
      <w:r>
        <w:rPr>
          <w:rFonts w:hint="eastAsia" w:ascii="Times New Roman" w:hAnsi="Times New Roman" w:eastAsia="仿宋_GB2312" w:cs="Times New Roman"/>
          <w:sz w:val="28"/>
          <w:szCs w:val="28"/>
        </w:rPr>
        <w:t>年</w:t>
      </w:r>
      <w:r>
        <w:rPr>
          <w:rFonts w:ascii="Times New Roman" w:hAnsi="Times New Roman" w:eastAsia="仿宋_GB2312" w:cs="Times New Roman"/>
          <w:sz w:val="28"/>
          <w:szCs w:val="28"/>
        </w:rPr>
        <w:t>8</w:t>
      </w:r>
      <w:r>
        <w:rPr>
          <w:rFonts w:hint="eastAsia" w:ascii="Times New Roman" w:hAnsi="Times New Roman" w:eastAsia="仿宋_GB2312" w:cs="Times New Roman"/>
          <w:sz w:val="28"/>
          <w:szCs w:val="28"/>
        </w:rPr>
        <w:t>月23日。</w:t>
      </w:r>
    </w:p>
    <w:p>
      <w:pPr>
        <w:spacing w:line="590" w:lineRule="exact"/>
        <w:ind w:firstLine="560" w:firstLineChars="200"/>
        <w:outlineLvl w:val="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本次服务协议期限：</w:t>
      </w:r>
      <w:r>
        <w:rPr>
          <w:rFonts w:ascii="Times New Roman" w:hAnsi="Times New Roman" w:eastAsia="仿宋_GB2312" w:cs="Times New Roman"/>
          <w:sz w:val="28"/>
          <w:szCs w:val="28"/>
        </w:rPr>
        <w:t>2024</w:t>
      </w:r>
      <w:r>
        <w:rPr>
          <w:rFonts w:hint="eastAsia" w:ascii="Times New Roman" w:hAnsi="Times New Roman" w:eastAsia="仿宋_GB2312" w:cs="Times New Roman"/>
          <w:sz w:val="28"/>
          <w:szCs w:val="28"/>
        </w:rPr>
        <w:t>年</w:t>
      </w:r>
      <w:r>
        <w:rPr>
          <w:rFonts w:ascii="Times New Roman" w:hAnsi="Times New Roman" w:eastAsia="仿宋_GB2312" w:cs="Times New Roman"/>
          <w:sz w:val="28"/>
          <w:szCs w:val="28"/>
        </w:rPr>
        <w:t>8</w:t>
      </w:r>
      <w:r>
        <w:rPr>
          <w:rFonts w:hint="eastAsia" w:ascii="Times New Roman" w:hAnsi="Times New Roman" w:eastAsia="仿宋_GB2312" w:cs="Times New Roman"/>
          <w:sz w:val="28"/>
          <w:szCs w:val="28"/>
        </w:rPr>
        <w:t>月24日至</w:t>
      </w:r>
      <w:r>
        <w:rPr>
          <w:rFonts w:ascii="Times New Roman" w:hAnsi="Times New Roman" w:eastAsia="仿宋_GB2312" w:cs="Times New Roman"/>
          <w:sz w:val="28"/>
          <w:szCs w:val="28"/>
        </w:rPr>
        <w:t>2025</w:t>
      </w:r>
      <w:r>
        <w:rPr>
          <w:rFonts w:hint="eastAsia" w:ascii="Times New Roman" w:hAnsi="Times New Roman" w:eastAsia="仿宋_GB2312" w:cs="Times New Roman"/>
          <w:sz w:val="28"/>
          <w:szCs w:val="28"/>
        </w:rPr>
        <w:t>年</w:t>
      </w:r>
      <w:r>
        <w:rPr>
          <w:rFonts w:ascii="Times New Roman" w:hAnsi="Times New Roman" w:eastAsia="仿宋_GB2312" w:cs="Times New Roman"/>
          <w:sz w:val="28"/>
          <w:szCs w:val="28"/>
        </w:rPr>
        <w:t>8</w:t>
      </w:r>
      <w:r>
        <w:rPr>
          <w:rFonts w:hint="eastAsia" w:ascii="Times New Roman" w:hAnsi="Times New Roman" w:eastAsia="仿宋_GB2312" w:cs="Times New Roman"/>
          <w:sz w:val="28"/>
          <w:szCs w:val="28"/>
        </w:rPr>
        <w:t>月23日。</w:t>
      </w:r>
    </w:p>
    <w:p>
      <w:pPr>
        <w:spacing w:line="590" w:lineRule="exact"/>
        <w:ind w:firstLine="560" w:firstLineChars="200"/>
        <w:outlineLvl w:val="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政府购买服务经费：本服务期限</w:t>
      </w:r>
      <w:r>
        <w:rPr>
          <w:rFonts w:ascii="Times New Roman" w:hAnsi="Times New Roman" w:eastAsia="仿宋_GB2312" w:cs="Times New Roman"/>
          <w:sz w:val="28"/>
          <w:szCs w:val="28"/>
        </w:rPr>
        <w:t>2024</w:t>
      </w:r>
      <w:r>
        <w:rPr>
          <w:rFonts w:hint="eastAsia" w:ascii="Times New Roman" w:hAnsi="Times New Roman" w:eastAsia="仿宋_GB2312" w:cs="Times New Roman"/>
          <w:sz w:val="28"/>
          <w:szCs w:val="28"/>
        </w:rPr>
        <w:t>年</w:t>
      </w:r>
      <w:r>
        <w:rPr>
          <w:rFonts w:ascii="Times New Roman" w:hAnsi="Times New Roman" w:eastAsia="仿宋_GB2312" w:cs="Times New Roman"/>
          <w:sz w:val="28"/>
          <w:szCs w:val="28"/>
        </w:rPr>
        <w:t>8</w:t>
      </w:r>
      <w:r>
        <w:rPr>
          <w:rFonts w:hint="eastAsia" w:ascii="Times New Roman" w:hAnsi="Times New Roman" w:eastAsia="仿宋_GB2312" w:cs="Times New Roman"/>
          <w:sz w:val="28"/>
          <w:szCs w:val="28"/>
        </w:rPr>
        <w:t>月24日至</w:t>
      </w:r>
      <w:r>
        <w:rPr>
          <w:rFonts w:ascii="Times New Roman" w:hAnsi="Times New Roman" w:eastAsia="仿宋_GB2312" w:cs="Times New Roman"/>
          <w:sz w:val="28"/>
          <w:szCs w:val="28"/>
        </w:rPr>
        <w:t>2025</w:t>
      </w:r>
      <w:r>
        <w:rPr>
          <w:rFonts w:hint="eastAsia" w:ascii="Times New Roman" w:hAnsi="Times New Roman" w:eastAsia="仿宋_GB2312" w:cs="Times New Roman"/>
          <w:sz w:val="28"/>
          <w:szCs w:val="28"/>
        </w:rPr>
        <w:t>年</w:t>
      </w:r>
      <w:r>
        <w:rPr>
          <w:rFonts w:ascii="Times New Roman" w:hAnsi="Times New Roman" w:eastAsia="仿宋_GB2312" w:cs="Times New Roman"/>
          <w:sz w:val="28"/>
          <w:szCs w:val="28"/>
        </w:rPr>
        <w:t>8</w:t>
      </w:r>
      <w:r>
        <w:rPr>
          <w:rFonts w:hint="eastAsia" w:ascii="Times New Roman" w:hAnsi="Times New Roman" w:eastAsia="仿宋_GB2312" w:cs="Times New Roman"/>
          <w:sz w:val="28"/>
          <w:szCs w:val="28"/>
        </w:rPr>
        <w:t>月23日的服务经费总计</w:t>
      </w:r>
      <w:r>
        <w:rPr>
          <w:rFonts w:ascii="Times New Roman" w:hAnsi="Times New Roman" w:eastAsia="仿宋_GB2312" w:cs="Times New Roman"/>
          <w:sz w:val="28"/>
          <w:szCs w:val="28"/>
        </w:rPr>
        <w:t>2,322,700.00</w:t>
      </w:r>
      <w:r>
        <w:rPr>
          <w:rFonts w:hint="eastAsia" w:ascii="Times New Roman" w:hAnsi="Times New Roman" w:eastAsia="仿宋_GB2312" w:cs="Times New Roman"/>
          <w:sz w:val="28"/>
          <w:szCs w:val="28"/>
        </w:rPr>
        <w:t>元，</w:t>
      </w:r>
      <w:bookmarkStart w:id="6" w:name="_Hlk211361453"/>
      <w:r>
        <w:rPr>
          <w:rFonts w:hint="eastAsia" w:ascii="Times New Roman" w:hAnsi="Times New Roman" w:eastAsia="仿宋_GB2312" w:cs="Times New Roman"/>
          <w:sz w:val="28"/>
          <w:szCs w:val="28"/>
        </w:rPr>
        <w:t>分三期拨付，在协议签订生效之日起</w:t>
      </w:r>
      <w:r>
        <w:rPr>
          <w:rFonts w:ascii="Times New Roman" w:hAnsi="Times New Roman" w:eastAsia="仿宋_GB2312" w:cs="Times New Roman"/>
          <w:sz w:val="28"/>
          <w:szCs w:val="28"/>
        </w:rPr>
        <w:t>30</w:t>
      </w:r>
      <w:r>
        <w:rPr>
          <w:rFonts w:hint="eastAsia" w:ascii="Times New Roman" w:hAnsi="Times New Roman" w:eastAsia="仿宋_GB2312" w:cs="Times New Roman"/>
          <w:sz w:val="28"/>
          <w:szCs w:val="28"/>
        </w:rPr>
        <w:t>个工作日内拨付第一期经费</w:t>
      </w:r>
      <w:r>
        <w:rPr>
          <w:rFonts w:ascii="Times New Roman" w:hAnsi="Times New Roman" w:eastAsia="仿宋_GB2312" w:cs="Times New Roman"/>
          <w:sz w:val="28"/>
          <w:szCs w:val="28"/>
        </w:rPr>
        <w:t>1,320,000.00</w:t>
      </w:r>
      <w:r>
        <w:rPr>
          <w:rFonts w:hint="eastAsia" w:ascii="Times New Roman" w:hAnsi="Times New Roman" w:eastAsia="仿宋_GB2312" w:cs="Times New Roman"/>
          <w:sz w:val="28"/>
          <w:szCs w:val="28"/>
        </w:rPr>
        <w:t>元；年度中期评估为合格以上的，自申请之日起</w:t>
      </w:r>
      <w:r>
        <w:rPr>
          <w:rFonts w:ascii="Times New Roman" w:hAnsi="Times New Roman" w:eastAsia="仿宋_GB2312" w:cs="Times New Roman"/>
          <w:sz w:val="28"/>
          <w:szCs w:val="28"/>
        </w:rPr>
        <w:t>30</w:t>
      </w:r>
      <w:r>
        <w:rPr>
          <w:rFonts w:hint="eastAsia" w:ascii="Times New Roman" w:hAnsi="Times New Roman" w:eastAsia="仿宋_GB2312" w:cs="Times New Roman"/>
          <w:sz w:val="28"/>
          <w:szCs w:val="28"/>
        </w:rPr>
        <w:t>个工作日内拨付第二期经费886</w:t>
      </w:r>
      <w:r>
        <w:rPr>
          <w:rFonts w:ascii="Times New Roman" w:hAnsi="Times New Roman" w:eastAsia="仿宋_GB2312" w:cs="Times New Roman"/>
          <w:sz w:val="28"/>
          <w:szCs w:val="28"/>
        </w:rPr>
        <w:t>,</w:t>
      </w:r>
      <w:r>
        <w:rPr>
          <w:rFonts w:hint="eastAsia" w:ascii="Times New Roman" w:hAnsi="Times New Roman" w:eastAsia="仿宋_GB2312" w:cs="Times New Roman"/>
          <w:sz w:val="28"/>
          <w:szCs w:val="28"/>
        </w:rPr>
        <w:t>6</w:t>
      </w:r>
      <w:r>
        <w:rPr>
          <w:rFonts w:ascii="Times New Roman" w:hAnsi="Times New Roman" w:eastAsia="仿宋_GB2312" w:cs="Times New Roman"/>
          <w:sz w:val="28"/>
          <w:szCs w:val="28"/>
        </w:rPr>
        <w:t>00.00</w:t>
      </w:r>
      <w:r>
        <w:rPr>
          <w:rFonts w:hint="eastAsia" w:ascii="Times New Roman" w:hAnsi="Times New Roman" w:eastAsia="仿宋_GB2312" w:cs="Times New Roman"/>
          <w:sz w:val="28"/>
          <w:szCs w:val="28"/>
        </w:rPr>
        <w:t>元；年度末期评估为合格以上的，自申请之日起</w:t>
      </w:r>
      <w:r>
        <w:rPr>
          <w:rFonts w:ascii="Times New Roman" w:hAnsi="Times New Roman" w:eastAsia="仿宋_GB2312" w:cs="Times New Roman"/>
          <w:sz w:val="28"/>
          <w:szCs w:val="28"/>
        </w:rPr>
        <w:t>30</w:t>
      </w:r>
      <w:r>
        <w:rPr>
          <w:rFonts w:hint="eastAsia" w:ascii="Times New Roman" w:hAnsi="Times New Roman" w:eastAsia="仿宋_GB2312" w:cs="Times New Roman"/>
          <w:sz w:val="28"/>
          <w:szCs w:val="28"/>
        </w:rPr>
        <w:t>个工作日内拨付第三期经费116</w:t>
      </w:r>
      <w:r>
        <w:rPr>
          <w:rFonts w:ascii="Times New Roman" w:hAnsi="Times New Roman" w:eastAsia="仿宋_GB2312" w:cs="Times New Roman"/>
          <w:sz w:val="28"/>
          <w:szCs w:val="28"/>
        </w:rPr>
        <w:t>,</w:t>
      </w:r>
      <w:r>
        <w:rPr>
          <w:rFonts w:hint="eastAsia" w:ascii="Times New Roman" w:hAnsi="Times New Roman" w:eastAsia="仿宋_GB2312" w:cs="Times New Roman"/>
          <w:sz w:val="28"/>
          <w:szCs w:val="28"/>
        </w:rPr>
        <w:t>1</w:t>
      </w:r>
      <w:r>
        <w:rPr>
          <w:rFonts w:ascii="Times New Roman" w:hAnsi="Times New Roman" w:eastAsia="仿宋_GB2312" w:cs="Times New Roman"/>
          <w:sz w:val="28"/>
          <w:szCs w:val="28"/>
        </w:rPr>
        <w:t>00.00</w:t>
      </w:r>
      <w:r>
        <w:rPr>
          <w:rFonts w:hint="eastAsia" w:ascii="Times New Roman" w:hAnsi="Times New Roman" w:eastAsia="仿宋_GB2312" w:cs="Times New Roman"/>
          <w:sz w:val="28"/>
          <w:szCs w:val="28"/>
        </w:rPr>
        <w:t>元</w:t>
      </w:r>
      <w:bookmarkEnd w:id="6"/>
      <w:r>
        <w:rPr>
          <w:rFonts w:hint="eastAsia" w:ascii="Times New Roman" w:hAnsi="Times New Roman" w:eastAsia="仿宋_GB2312" w:cs="Times New Roman"/>
          <w:sz w:val="28"/>
          <w:szCs w:val="28"/>
        </w:rPr>
        <w:t>。</w:t>
      </w:r>
    </w:p>
    <w:p>
      <w:pPr>
        <w:spacing w:line="590" w:lineRule="exact"/>
        <w:outlineLvl w:val="0"/>
        <w:rPr>
          <w:rFonts w:ascii="Times New Roman" w:hAnsi="Times New Roman" w:eastAsia="仿宋_GB2312" w:cs="Times New Roman"/>
          <w:b/>
          <w:sz w:val="28"/>
          <w:szCs w:val="28"/>
        </w:rPr>
      </w:pPr>
      <w:r>
        <w:rPr>
          <w:rFonts w:hint="eastAsia" w:ascii="Times New Roman" w:hAnsi="Times New Roman" w:eastAsia="仿宋_GB2312" w:cs="Times New Roman"/>
          <w:b/>
          <w:sz w:val="28"/>
          <w:szCs w:val="28"/>
        </w:rPr>
        <w:t>二、石碁社工站财务管理制度执行情况</w:t>
      </w:r>
    </w:p>
    <w:p>
      <w:pPr>
        <w:spacing w:line="590" w:lineRule="exact"/>
        <w:ind w:firstLine="560" w:firstLineChars="200"/>
        <w:outlineLvl w:val="0"/>
        <w:rPr>
          <w:rFonts w:ascii="Times New Roman" w:hAnsi="Times New Roman" w:eastAsia="仿宋_GB2312" w:cs="Times New Roman"/>
          <w:sz w:val="28"/>
          <w:szCs w:val="28"/>
        </w:rPr>
      </w:pPr>
      <w:bookmarkStart w:id="7" w:name="OLE_LINK7"/>
      <w:bookmarkStart w:id="8" w:name="OLE_LINK8"/>
      <w:r>
        <w:rPr>
          <w:rFonts w:hint="eastAsia" w:ascii="Times New Roman" w:hAnsi="Times New Roman" w:eastAsia="仿宋_GB2312" w:cs="Times New Roman"/>
          <w:sz w:val="28"/>
          <w:szCs w:val="28"/>
        </w:rPr>
        <w:t>㈠非营利组织会计制度的执行情况</w:t>
      </w:r>
    </w:p>
    <w:p>
      <w:pPr>
        <w:spacing w:line="590" w:lineRule="exact"/>
        <w:ind w:firstLine="560" w:firstLineChars="200"/>
        <w:outlineLvl w:val="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经审核，石碁社工站有执行《民间非营利组织会计制度》，能按照《民间非营利组织会计制度》进行会计核算，原始凭证的审核、记账凭证的编制和财务报告的编制等符合制度规定，能根据有关规定和要求填报经费收支情况表的数据。</w:t>
      </w:r>
    </w:p>
    <w:p>
      <w:pPr>
        <w:spacing w:line="590" w:lineRule="exact"/>
        <w:ind w:firstLine="560" w:firstLineChars="200"/>
        <w:outlineLvl w:val="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㈡财务监管、风控制度的执行情况</w:t>
      </w:r>
    </w:p>
    <w:p>
      <w:pPr>
        <w:spacing w:line="590" w:lineRule="exact"/>
        <w:ind w:firstLine="560" w:firstLineChars="200"/>
        <w:outlineLvl w:val="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１、承接机构广州市阳光天使社会工作服务中心根据自身特点建立了《岗位职责》《财务报销制度及报销流程》《物资管理制度》《重大事项报备规定》等财务监管、风险方面控制制度，石碁社工站在实际工作中按相关规定编制“石碁预算执行情况表”；在经费报销和物资采购等方面基本能执行承接机构制度规定的程序、权限,但部分审批签名不齐，详见本报告第九点“存在问题及建议。”</w:t>
      </w:r>
    </w:p>
    <w:p>
      <w:pPr>
        <w:spacing w:line="590" w:lineRule="exact"/>
        <w:ind w:firstLine="560" w:firstLineChars="200"/>
        <w:outlineLvl w:val="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２、石碁社工站按区域对固定资产进行管理，定期盘点。</w:t>
      </w:r>
    </w:p>
    <w:p>
      <w:pPr>
        <w:spacing w:line="590" w:lineRule="exact"/>
        <w:ind w:firstLine="560" w:firstLineChars="200"/>
        <w:outlineLvl w:val="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３、承接机构广州市阳光天使社会工作服务中心已按要求编制服务期内石碁社工站的财务自评报告；中心</w:t>
      </w:r>
      <w:r>
        <w:rPr>
          <w:rFonts w:ascii="Times New Roman" w:hAnsi="Times New Roman" w:eastAsia="仿宋_GB2312" w:cs="Times New Roman"/>
          <w:sz w:val="28"/>
          <w:szCs w:val="28"/>
        </w:rPr>
        <w:t>2024</w:t>
      </w:r>
      <w:r>
        <w:rPr>
          <w:rFonts w:hint="eastAsia" w:ascii="Times New Roman" w:hAnsi="Times New Roman" w:eastAsia="仿宋_GB2312" w:cs="Times New Roman"/>
          <w:sz w:val="28"/>
          <w:szCs w:val="28"/>
        </w:rPr>
        <w:t>年度财务报表已经广东金铭至正会计师事务所有限公司审计，并取得金铭查字（</w:t>
      </w:r>
      <w:r>
        <w:rPr>
          <w:rFonts w:ascii="Times New Roman" w:hAnsi="Times New Roman" w:eastAsia="仿宋_GB2312" w:cs="Times New Roman"/>
          <w:sz w:val="28"/>
          <w:szCs w:val="28"/>
        </w:rPr>
        <w:t>2025</w:t>
      </w:r>
      <w:r>
        <w:rPr>
          <w:rFonts w:hint="eastAsia" w:ascii="Times New Roman" w:hAnsi="Times New Roman" w:eastAsia="仿宋_GB2312" w:cs="Times New Roman"/>
          <w:sz w:val="28"/>
          <w:szCs w:val="28"/>
        </w:rPr>
        <w:t>）第</w:t>
      </w:r>
      <w:r>
        <w:rPr>
          <w:rFonts w:ascii="Times New Roman" w:hAnsi="Times New Roman" w:eastAsia="仿宋_GB2312" w:cs="Times New Roman"/>
          <w:sz w:val="28"/>
          <w:szCs w:val="28"/>
        </w:rPr>
        <w:t>0678</w:t>
      </w:r>
      <w:r>
        <w:rPr>
          <w:rFonts w:hint="eastAsia" w:ascii="Times New Roman" w:hAnsi="Times New Roman" w:eastAsia="仿宋_GB2312" w:cs="Times New Roman"/>
          <w:sz w:val="28"/>
          <w:szCs w:val="28"/>
        </w:rPr>
        <w:t>号无保留意见审计报告；</w:t>
      </w:r>
      <w:r>
        <w:rPr>
          <w:rFonts w:ascii="Times New Roman" w:hAnsi="Times New Roman" w:eastAsia="仿宋_GB2312" w:cs="Times New Roman"/>
          <w:sz w:val="28"/>
          <w:szCs w:val="28"/>
        </w:rPr>
        <w:t>2024</w:t>
      </w:r>
      <w:r>
        <w:rPr>
          <w:rFonts w:hint="eastAsia" w:ascii="Times New Roman" w:hAnsi="Times New Roman" w:eastAsia="仿宋_GB2312" w:cs="Times New Roman"/>
          <w:sz w:val="28"/>
          <w:szCs w:val="28"/>
        </w:rPr>
        <w:t>年度企业所得税纳税情况已经广东金铭至正会计师事务所有限公司复核，并取得金铭代字（</w:t>
      </w:r>
      <w:r>
        <w:rPr>
          <w:rFonts w:ascii="Times New Roman" w:hAnsi="Times New Roman" w:eastAsia="仿宋_GB2312" w:cs="Times New Roman"/>
          <w:sz w:val="28"/>
          <w:szCs w:val="28"/>
        </w:rPr>
        <w:t>2025</w:t>
      </w:r>
      <w:r>
        <w:rPr>
          <w:rFonts w:hint="eastAsia" w:ascii="Times New Roman" w:hAnsi="Times New Roman" w:eastAsia="仿宋_GB2312" w:cs="Times New Roman"/>
          <w:sz w:val="28"/>
          <w:szCs w:val="28"/>
        </w:rPr>
        <w:t>）第</w:t>
      </w:r>
      <w:r>
        <w:rPr>
          <w:rFonts w:ascii="Times New Roman" w:hAnsi="Times New Roman" w:eastAsia="仿宋_GB2312" w:cs="Times New Roman"/>
          <w:sz w:val="28"/>
          <w:szCs w:val="28"/>
        </w:rPr>
        <w:t>DL0446</w:t>
      </w:r>
      <w:r>
        <w:rPr>
          <w:rFonts w:hint="eastAsia" w:ascii="Times New Roman" w:hAnsi="Times New Roman" w:eastAsia="仿宋_GB2312" w:cs="Times New Roman"/>
          <w:sz w:val="28"/>
          <w:szCs w:val="28"/>
        </w:rPr>
        <w:t>号汇算清缴纳税调整报告。</w:t>
      </w:r>
    </w:p>
    <w:p>
      <w:pPr>
        <w:spacing w:line="620" w:lineRule="exact"/>
        <w:outlineLvl w:val="0"/>
        <w:rPr>
          <w:rFonts w:ascii="Times New Roman" w:hAnsi="Times New Roman" w:eastAsia="仿宋_GB2312" w:cs="Times New Roman"/>
          <w:b/>
          <w:sz w:val="28"/>
          <w:szCs w:val="28"/>
        </w:rPr>
      </w:pPr>
      <w:r>
        <w:rPr>
          <w:rFonts w:hint="eastAsia" w:ascii="Times New Roman" w:hAnsi="Times New Roman" w:eastAsia="仿宋_GB2312" w:cs="Times New Roman"/>
          <w:b/>
          <w:sz w:val="28"/>
          <w:szCs w:val="28"/>
        </w:rPr>
        <w:t>三、石碁社工站人员配备情况</w:t>
      </w:r>
    </w:p>
    <w:p>
      <w:pPr>
        <w:spacing w:line="620" w:lineRule="exact"/>
        <w:ind w:firstLine="560" w:firstLineChars="200"/>
        <w:outlineLvl w:val="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承接机构广州市阳光天使社会工作服务中心严格贯彻不相容职务分离原则，配置财务人员</w:t>
      </w:r>
      <w:r>
        <w:rPr>
          <w:rFonts w:ascii="Times New Roman" w:hAnsi="Times New Roman" w:eastAsia="仿宋_GB2312" w:cs="Times New Roman"/>
          <w:sz w:val="28"/>
          <w:szCs w:val="28"/>
        </w:rPr>
        <w:t>2</w:t>
      </w:r>
      <w:r>
        <w:rPr>
          <w:rFonts w:hint="eastAsia" w:ascii="Times New Roman" w:hAnsi="Times New Roman" w:eastAsia="仿宋_GB2312" w:cs="Times New Roman"/>
          <w:sz w:val="28"/>
          <w:szCs w:val="28"/>
        </w:rPr>
        <w:t>名，分别担任会计、出纳岗位，负责包括石碁社工站在内的中心财务工作，均已取得会计初级专业技术资格证。</w:t>
      </w:r>
    </w:p>
    <w:p>
      <w:pPr>
        <w:spacing w:line="620" w:lineRule="exact"/>
        <w:ind w:firstLine="560" w:firstLineChars="200"/>
        <w:outlineLvl w:val="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经查阅，会计邱强发和出纳黄秋玲均已完成</w:t>
      </w:r>
      <w:r>
        <w:rPr>
          <w:rFonts w:ascii="Times New Roman" w:hAnsi="Times New Roman" w:eastAsia="仿宋_GB2312" w:cs="Times New Roman"/>
          <w:sz w:val="28"/>
          <w:szCs w:val="28"/>
        </w:rPr>
        <w:t>2024</w:t>
      </w:r>
      <w:r>
        <w:rPr>
          <w:rFonts w:hint="eastAsia" w:ascii="Times New Roman" w:hAnsi="Times New Roman" w:eastAsia="仿宋_GB2312" w:cs="Times New Roman"/>
          <w:sz w:val="28"/>
          <w:szCs w:val="28"/>
        </w:rPr>
        <w:t>年度会计专业技术人员继续教育学习任务，且相应工资、五险一金等薪金支出在机构作为运营管理费用项目核算，未计入社工人员经费支出，符合要求。</w:t>
      </w:r>
    </w:p>
    <w:p>
      <w:pPr>
        <w:spacing w:line="620" w:lineRule="exact"/>
        <w:outlineLvl w:val="0"/>
        <w:rPr>
          <w:rFonts w:ascii="Times New Roman" w:hAnsi="Times New Roman" w:eastAsia="仿宋_GB2312" w:cs="Times New Roman"/>
          <w:b/>
          <w:sz w:val="28"/>
          <w:szCs w:val="28"/>
        </w:rPr>
      </w:pPr>
      <w:r>
        <w:rPr>
          <w:rFonts w:hint="eastAsia" w:ascii="Times New Roman" w:hAnsi="Times New Roman" w:eastAsia="仿宋_GB2312" w:cs="Times New Roman"/>
          <w:b/>
          <w:sz w:val="28"/>
          <w:szCs w:val="28"/>
        </w:rPr>
        <w:t>四、石碁社工站经费支出情况</w:t>
      </w:r>
    </w:p>
    <w:p>
      <w:pPr>
        <w:spacing w:line="620" w:lineRule="exact"/>
        <w:ind w:firstLine="560" w:firstLineChars="200"/>
        <w:outlineLvl w:val="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承接机构广州市番禺区阳光天使社会工作服务中心根据《广州市人民政府办公厅关于印发广州市社工服务站管理办法的通知》（穗府办〔</w:t>
      </w:r>
      <w:r>
        <w:rPr>
          <w:rFonts w:ascii="Times New Roman" w:hAnsi="Times New Roman" w:eastAsia="仿宋_GB2312" w:cs="Times New Roman"/>
          <w:sz w:val="28"/>
          <w:szCs w:val="28"/>
        </w:rPr>
        <w:t>2023</w:t>
      </w:r>
      <w:r>
        <w:rPr>
          <w:rFonts w:hint="eastAsia" w:ascii="Times New Roman" w:hAnsi="Times New Roman" w:eastAsia="仿宋_GB2312" w:cs="Times New Roman"/>
          <w:sz w:val="28"/>
          <w:szCs w:val="28"/>
        </w:rPr>
        <w:t>〕</w:t>
      </w:r>
      <w:r>
        <w:rPr>
          <w:rFonts w:ascii="Times New Roman" w:hAnsi="Times New Roman" w:eastAsia="仿宋_GB2312" w:cs="Times New Roman"/>
          <w:sz w:val="28"/>
          <w:szCs w:val="28"/>
        </w:rPr>
        <w:t>7</w:t>
      </w:r>
      <w:r>
        <w:rPr>
          <w:rFonts w:hint="eastAsia" w:ascii="Times New Roman" w:hAnsi="Times New Roman" w:eastAsia="仿宋_GB2312" w:cs="Times New Roman"/>
          <w:sz w:val="28"/>
          <w:szCs w:val="28"/>
        </w:rPr>
        <w:t>号）等相关规定，结合实际情况建立了《财务报销制度及报销流程》，明确了财务经费支出的审核程序及支出权限。制度规定：</w:t>
      </w:r>
      <w:r>
        <w:rPr>
          <w:rFonts w:ascii="Times New Roman" w:hAnsi="Times New Roman" w:eastAsia="仿宋_GB2312" w:cs="Times New Roman"/>
          <w:sz w:val="28"/>
          <w:szCs w:val="28"/>
        </w:rPr>
        <w:t xml:space="preserve"> </w:t>
      </w:r>
      <w:r>
        <w:rPr>
          <w:rFonts w:hint="eastAsia" w:ascii="Times New Roman" w:hAnsi="Times New Roman" w:eastAsia="仿宋_GB2312" w:cs="Times New Roman"/>
          <w:sz w:val="28"/>
          <w:szCs w:val="28"/>
        </w:rPr>
        <w:t>按规定的审批程序报批，经手人按规定填写《费用报销》</w:t>
      </w:r>
      <w:r>
        <w:rPr>
          <w:rFonts w:ascii="Times New Roman" w:hAnsi="Times New Roman" w:eastAsia="仿宋_GB2312" w:cs="Times New Roman"/>
          <w:sz w:val="28"/>
          <w:szCs w:val="28"/>
        </w:rPr>
        <w:t>——</w:t>
      </w:r>
      <w:r>
        <w:rPr>
          <w:rFonts w:hint="eastAsia" w:ascii="Times New Roman" w:hAnsi="Times New Roman" w:eastAsia="仿宋_GB2312" w:cs="Times New Roman"/>
          <w:sz w:val="28"/>
          <w:szCs w:val="28"/>
        </w:rPr>
        <w:t>主管项目负责人审核签字</w:t>
      </w:r>
      <w:r>
        <w:rPr>
          <w:rFonts w:ascii="Times New Roman" w:hAnsi="Times New Roman" w:eastAsia="仿宋_GB2312" w:cs="Times New Roman"/>
          <w:sz w:val="28"/>
          <w:szCs w:val="28"/>
        </w:rPr>
        <w:t>——</w:t>
      </w:r>
      <w:r>
        <w:rPr>
          <w:rFonts w:hint="eastAsia" w:ascii="Times New Roman" w:hAnsi="Times New Roman" w:eastAsia="仿宋_GB2312" w:cs="Times New Roman"/>
          <w:sz w:val="28"/>
          <w:szCs w:val="28"/>
        </w:rPr>
        <w:t>区域服务总监或机构行政总监审核签字</w:t>
      </w:r>
      <w:r>
        <w:rPr>
          <w:rFonts w:ascii="Times New Roman" w:hAnsi="Times New Roman" w:eastAsia="仿宋_GB2312" w:cs="Times New Roman"/>
          <w:sz w:val="28"/>
          <w:szCs w:val="28"/>
        </w:rPr>
        <w:t>——</w:t>
      </w:r>
      <w:r>
        <w:rPr>
          <w:rFonts w:hint="eastAsia" w:ascii="Times New Roman" w:hAnsi="Times New Roman" w:eastAsia="仿宋_GB2312" w:cs="Times New Roman"/>
          <w:sz w:val="28"/>
          <w:szCs w:val="28"/>
        </w:rPr>
        <w:t>财务复核</w:t>
      </w:r>
      <w:r>
        <w:rPr>
          <w:rFonts w:ascii="Times New Roman" w:hAnsi="Times New Roman" w:eastAsia="仿宋_GB2312" w:cs="Times New Roman"/>
          <w:sz w:val="28"/>
          <w:szCs w:val="28"/>
        </w:rPr>
        <w:t>——</w:t>
      </w:r>
      <w:r>
        <w:rPr>
          <w:rFonts w:hint="eastAsia" w:ascii="Times New Roman" w:hAnsi="Times New Roman" w:eastAsia="仿宋_GB2312" w:cs="Times New Roman"/>
          <w:sz w:val="28"/>
          <w:szCs w:val="28"/>
        </w:rPr>
        <w:t>总干事或理事（理事会）审批</w:t>
      </w:r>
      <w:r>
        <w:rPr>
          <w:rFonts w:ascii="Times New Roman" w:hAnsi="Times New Roman" w:eastAsia="仿宋_GB2312" w:cs="Times New Roman"/>
          <w:sz w:val="28"/>
          <w:szCs w:val="28"/>
        </w:rPr>
        <w:t>——</w:t>
      </w:r>
      <w:r>
        <w:rPr>
          <w:rFonts w:hint="eastAsia" w:ascii="Times New Roman" w:hAnsi="Times New Roman" w:eastAsia="仿宋_GB2312" w:cs="Times New Roman"/>
          <w:sz w:val="28"/>
          <w:szCs w:val="28"/>
        </w:rPr>
        <w:t>财务部办理报销。项目主任审批额度为</w:t>
      </w:r>
      <w:r>
        <w:rPr>
          <w:rFonts w:ascii="Times New Roman" w:hAnsi="Times New Roman" w:eastAsia="仿宋_GB2312" w:cs="Times New Roman"/>
          <w:sz w:val="28"/>
          <w:szCs w:val="28"/>
        </w:rPr>
        <w:t>300</w:t>
      </w:r>
      <w:r>
        <w:rPr>
          <w:rFonts w:hint="eastAsia" w:ascii="Times New Roman" w:hAnsi="Times New Roman" w:eastAsia="仿宋_GB2312" w:cs="Times New Roman"/>
          <w:sz w:val="28"/>
          <w:szCs w:val="28"/>
        </w:rPr>
        <w:t>元（含</w:t>
      </w:r>
      <w:r>
        <w:rPr>
          <w:rFonts w:ascii="Times New Roman" w:hAnsi="Times New Roman" w:eastAsia="仿宋_GB2312" w:cs="Times New Roman"/>
          <w:sz w:val="28"/>
          <w:szCs w:val="28"/>
        </w:rPr>
        <w:t>300</w:t>
      </w:r>
      <w:r>
        <w:rPr>
          <w:rFonts w:hint="eastAsia" w:ascii="Times New Roman" w:hAnsi="Times New Roman" w:eastAsia="仿宋_GB2312" w:cs="Times New Roman"/>
          <w:sz w:val="28"/>
          <w:szCs w:val="28"/>
        </w:rPr>
        <w:t>元），</w:t>
      </w:r>
      <w:r>
        <w:rPr>
          <w:rFonts w:ascii="Times New Roman" w:hAnsi="Times New Roman" w:eastAsia="仿宋_GB2312" w:cs="Times New Roman"/>
          <w:sz w:val="28"/>
          <w:szCs w:val="28"/>
        </w:rPr>
        <w:t>300</w:t>
      </w:r>
      <w:r>
        <w:rPr>
          <w:rFonts w:hint="eastAsia" w:ascii="Times New Roman" w:hAnsi="Times New Roman" w:eastAsia="仿宋_GB2312" w:cs="Times New Roman"/>
          <w:sz w:val="28"/>
          <w:szCs w:val="28"/>
        </w:rPr>
        <w:t>元以上至</w:t>
      </w:r>
      <w:r>
        <w:rPr>
          <w:rFonts w:ascii="Times New Roman" w:hAnsi="Times New Roman" w:eastAsia="仿宋_GB2312" w:cs="Times New Roman"/>
          <w:sz w:val="28"/>
          <w:szCs w:val="28"/>
        </w:rPr>
        <w:t>1000</w:t>
      </w:r>
      <w:r>
        <w:rPr>
          <w:rFonts w:hint="eastAsia" w:ascii="Times New Roman" w:hAnsi="Times New Roman" w:eastAsia="仿宋_GB2312" w:cs="Times New Roman"/>
          <w:sz w:val="28"/>
          <w:szCs w:val="28"/>
        </w:rPr>
        <w:t>元（含</w:t>
      </w:r>
      <w:r>
        <w:rPr>
          <w:rFonts w:ascii="Times New Roman" w:hAnsi="Times New Roman" w:eastAsia="仿宋_GB2312" w:cs="Times New Roman"/>
          <w:sz w:val="28"/>
          <w:szCs w:val="28"/>
        </w:rPr>
        <w:t>1000</w:t>
      </w:r>
      <w:r>
        <w:rPr>
          <w:rFonts w:hint="eastAsia" w:ascii="Times New Roman" w:hAnsi="Times New Roman" w:eastAsia="仿宋_GB2312" w:cs="Times New Roman"/>
          <w:sz w:val="28"/>
          <w:szCs w:val="28"/>
        </w:rPr>
        <w:t>元）由区域服务总监或机构行政总监审批，</w:t>
      </w:r>
      <w:r>
        <w:rPr>
          <w:rFonts w:ascii="Times New Roman" w:hAnsi="Times New Roman" w:eastAsia="仿宋_GB2312" w:cs="Times New Roman"/>
          <w:sz w:val="28"/>
          <w:szCs w:val="28"/>
        </w:rPr>
        <w:t>1000</w:t>
      </w:r>
      <w:r>
        <w:rPr>
          <w:rFonts w:hint="eastAsia" w:ascii="Times New Roman" w:hAnsi="Times New Roman" w:eastAsia="仿宋_GB2312" w:cs="Times New Roman"/>
          <w:sz w:val="28"/>
          <w:szCs w:val="28"/>
        </w:rPr>
        <w:t>元以上由总干事或理事（理事会）审批。本评估期内石碁社工站经费支出具体情况如下：</w:t>
      </w:r>
    </w:p>
    <w:p>
      <w:pPr>
        <w:spacing w:line="620" w:lineRule="exact"/>
        <w:ind w:firstLine="560" w:firstLineChars="200"/>
        <w:outlineLvl w:val="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㈠财务支出的合规性</w:t>
      </w:r>
    </w:p>
    <w:p>
      <w:pPr>
        <w:spacing w:line="620" w:lineRule="exact"/>
        <w:ind w:firstLine="560" w:firstLineChars="200"/>
        <w:outlineLvl w:val="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石碁社工站经费使用的范围、比例基本能按《广州市社工服务站管理办法》有关规定执行。石碁社工站每年有制定“石碁预算执行情况表”，明确规划了协议期内的收入和支出预算计划，经费支出预算表基本能符合《民间非营利组织会计制度》和广州市番禺区人民政府石碁街道办事处与社工服务站承接机构签订的购买服务协议中人员费用、服务质量保障费用和运营管理费用规定的使用范围，活动经费预算表有机构理事会负责人签名确认。</w:t>
      </w:r>
    </w:p>
    <w:p>
      <w:pPr>
        <w:spacing w:line="620" w:lineRule="exact"/>
        <w:ind w:firstLine="560" w:firstLineChars="200"/>
        <w:outlineLvl w:val="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㈡财务支出的合理性</w:t>
      </w:r>
    </w:p>
    <w:p>
      <w:pPr>
        <w:spacing w:line="620" w:lineRule="exact"/>
        <w:ind w:firstLine="560" w:firstLineChars="200"/>
        <w:outlineLvl w:val="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经审核，石碁社工站财务支出的事由、票据、标准基本合理。石碁社工站有经费预算程序，财务支出根据经费预算计划执行、基本能按预算标准支出，并有财务支出票据。</w:t>
      </w:r>
    </w:p>
    <w:p>
      <w:pPr>
        <w:spacing w:line="620" w:lineRule="exact"/>
        <w:ind w:firstLine="560" w:firstLineChars="200"/>
        <w:outlineLvl w:val="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㈢财务支出审批机制情况</w:t>
      </w:r>
    </w:p>
    <w:p>
      <w:pPr>
        <w:spacing w:line="620" w:lineRule="exact"/>
        <w:ind w:firstLine="560" w:firstLineChars="200"/>
        <w:outlineLvl w:val="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经审核，除本报告第九点存在问题及建议提及的问题外，石碁社工站基本能按承接机构广州市阳光天使社会工作服务中心财务制度规定的审批权限进行审批。经费支出由经办人、证明人、审核人签名。</w:t>
      </w:r>
    </w:p>
    <w:p>
      <w:pPr>
        <w:spacing w:line="620" w:lineRule="exact"/>
        <w:ind w:firstLine="560" w:firstLineChars="200"/>
        <w:outlineLvl w:val="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㈣财务支出监控机制执行情况</w:t>
      </w:r>
    </w:p>
    <w:p>
      <w:pPr>
        <w:spacing w:line="620" w:lineRule="exact"/>
        <w:ind w:firstLine="560" w:firstLineChars="200"/>
        <w:outlineLvl w:val="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经审核，承接机构广州市阳光天使社会工作服务中心已建立财务支出管理的监控机制，并在石碁社工站得到较规范执行。</w:t>
      </w:r>
    </w:p>
    <w:p>
      <w:pPr>
        <w:spacing w:line="620" w:lineRule="exact"/>
        <w:ind w:firstLine="560" w:firstLineChars="200"/>
        <w:outlineLvl w:val="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１、承接机构广州市阳光天使社会工作服务中心能按规定开设银行基本账户，按规定对石碁社工站开设了银行一般账户，日常财务支出采用专户支付和基本户代付后专户转回结合的方式。</w:t>
      </w:r>
    </w:p>
    <w:p>
      <w:pPr>
        <w:spacing w:line="620" w:lineRule="exact"/>
        <w:ind w:firstLine="560" w:firstLineChars="200"/>
        <w:outlineLvl w:val="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２、为确保政府购买服务经费用于指定用途，承接机构广州市阳光天使社会工作服务中心有定期向购买方提交石碁社工站服务经费使用情况报告，对经费预算及使用情况作比对分析。</w:t>
      </w:r>
    </w:p>
    <w:p>
      <w:pPr>
        <w:spacing w:line="620" w:lineRule="exact"/>
        <w:ind w:firstLine="560" w:firstLineChars="200"/>
        <w:outlineLvl w:val="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㈤财务支出票据的完整性、规范性</w:t>
      </w:r>
    </w:p>
    <w:p>
      <w:pPr>
        <w:spacing w:line="620" w:lineRule="exact"/>
        <w:ind w:firstLine="544" w:firstLineChars="200"/>
        <w:outlineLvl w:val="0"/>
        <w:rPr>
          <w:rFonts w:ascii="Times New Roman" w:hAnsi="Times New Roman" w:eastAsia="仿宋_GB2312" w:cs="Times New Roman"/>
          <w:spacing w:val="-4"/>
          <w:sz w:val="28"/>
          <w:szCs w:val="28"/>
        </w:rPr>
      </w:pPr>
      <w:r>
        <w:rPr>
          <w:rFonts w:hint="eastAsia" w:ascii="Times New Roman" w:hAnsi="Times New Roman" w:eastAsia="仿宋_GB2312" w:cs="Times New Roman"/>
          <w:spacing w:val="-4"/>
          <w:sz w:val="28"/>
          <w:szCs w:val="28"/>
        </w:rPr>
        <w:t>石碁社工站财务支出票据、凭证填制较完整，账目设置、票据管理较规范。</w:t>
      </w:r>
    </w:p>
    <w:bookmarkEnd w:id="7"/>
    <w:p>
      <w:pPr>
        <w:spacing w:line="590" w:lineRule="exact"/>
        <w:outlineLvl w:val="0"/>
        <w:rPr>
          <w:rFonts w:ascii="Times New Roman" w:hAnsi="Times New Roman" w:eastAsia="仿宋_GB2312" w:cs="Times New Roman"/>
          <w:b/>
          <w:sz w:val="28"/>
          <w:szCs w:val="28"/>
        </w:rPr>
      </w:pPr>
      <w:r>
        <w:rPr>
          <w:rFonts w:hint="eastAsia" w:ascii="Times New Roman" w:hAnsi="Times New Roman" w:eastAsia="仿宋_GB2312" w:cs="Times New Roman"/>
          <w:b/>
          <w:sz w:val="28"/>
          <w:szCs w:val="28"/>
        </w:rPr>
        <w:t>五、石碁社工站会计核算情况</w:t>
      </w:r>
    </w:p>
    <w:p>
      <w:pPr>
        <w:spacing w:line="590" w:lineRule="exact"/>
        <w:ind w:firstLine="560" w:firstLineChars="200"/>
        <w:outlineLvl w:val="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㈠是否设置会计科目，编制完整会计报表</w:t>
      </w:r>
    </w:p>
    <w:p>
      <w:pPr>
        <w:spacing w:line="590" w:lineRule="exact"/>
        <w:ind w:firstLine="560" w:firstLineChars="200"/>
        <w:outlineLvl w:val="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经审核，承接机构广州市阳光天使社会工作服务中心对石碁社工站会计科目设置合理，所有服务业务均编制了记账凭证、登记了明细分类账簿和总账，核算做到账证、账账、账表相符，编制了会计报表，并依据相关会计制度独立核算。</w:t>
      </w:r>
    </w:p>
    <w:p>
      <w:pPr>
        <w:spacing w:line="590" w:lineRule="exact"/>
        <w:ind w:firstLine="560" w:firstLineChars="200"/>
        <w:outlineLvl w:val="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㈡是否分项目核算</w:t>
      </w:r>
    </w:p>
    <w:p>
      <w:pPr>
        <w:spacing w:line="590" w:lineRule="exact"/>
        <w:ind w:firstLine="560" w:firstLineChars="200"/>
        <w:outlineLvl w:val="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经审核，承接机构广州市阳光天使社会工作服务中心对承接的石碁社工站政府购买服务资金的服务经费支出，能按要求做到分项目核算。</w:t>
      </w:r>
    </w:p>
    <w:p>
      <w:pPr>
        <w:spacing w:line="590" w:lineRule="exact"/>
        <w:ind w:firstLine="560" w:firstLineChars="200"/>
        <w:outlineLvl w:val="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㈢是否领域服务经费分开归集</w:t>
      </w:r>
    </w:p>
    <w:p>
      <w:pPr>
        <w:spacing w:line="590" w:lineRule="exact"/>
        <w:ind w:firstLine="560" w:firstLineChars="200"/>
        <w:outlineLvl w:val="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经审核，承接机构广州市阳光天使社会工作服务中心对承接的石碁社工站政府购买服务资金的服务经费支出，能按要求做到领域服务经费分开归集。</w:t>
      </w:r>
      <w:bookmarkEnd w:id="8"/>
    </w:p>
    <w:p>
      <w:pPr>
        <w:spacing w:line="590" w:lineRule="exact"/>
        <w:ind w:right="-569" w:rightChars="-271"/>
        <w:outlineLvl w:val="0"/>
        <w:rPr>
          <w:rFonts w:ascii="Times New Roman" w:hAnsi="Times New Roman" w:eastAsia="仿宋_GB2312" w:cs="Times New Roman"/>
          <w:b/>
          <w:sz w:val="28"/>
          <w:szCs w:val="28"/>
        </w:rPr>
      </w:pPr>
      <w:r>
        <w:rPr>
          <w:rFonts w:ascii="Times New Roman" w:hAnsi="Times New Roman" w:eastAsia="仿宋_GB2312" w:cs="Times New Roman"/>
          <w:b/>
          <w:sz w:val="28"/>
          <w:szCs w:val="28"/>
        </w:rPr>
        <w:t>六、</w:t>
      </w:r>
      <w:bookmarkEnd w:id="3"/>
      <w:r>
        <w:rPr>
          <w:rFonts w:ascii="Times New Roman" w:hAnsi="Times New Roman" w:eastAsia="仿宋_GB2312" w:cs="Times New Roman"/>
          <w:b/>
          <w:sz w:val="28"/>
          <w:szCs w:val="28"/>
        </w:rPr>
        <w:t>本评估期服务经费拨入、支出、结余情况</w:t>
      </w:r>
    </w:p>
    <w:p>
      <w:pPr>
        <w:spacing w:line="590" w:lineRule="exact"/>
        <w:ind w:right="-2" w:firstLine="560" w:firstLineChars="200"/>
        <w:outlineLvl w:val="0"/>
        <w:rPr>
          <w:rFonts w:ascii="Times New Roman" w:hAnsi="Times New Roman" w:eastAsia="仿宋" w:cs="Times New Roman"/>
          <w:color w:val="000000" w:themeColor="text1"/>
          <w:sz w:val="28"/>
          <w:szCs w:val="28"/>
          <w14:textFill>
            <w14:solidFill>
              <w14:schemeClr w14:val="tx1"/>
            </w14:solidFill>
          </w14:textFill>
        </w:rPr>
      </w:pPr>
      <w:r>
        <w:rPr>
          <w:rFonts w:hint="eastAsia" w:ascii="Times New Roman" w:hAnsi="Times New Roman" w:eastAsia="仿宋_GB2312" w:cs="Times New Roman"/>
          <w:sz w:val="28"/>
          <w:szCs w:val="28"/>
        </w:rPr>
        <w:t>2025年2月24日至2025年8月23日</w:t>
      </w:r>
      <w:r>
        <w:rPr>
          <w:rFonts w:ascii="Times New Roman" w:hAnsi="Times New Roman" w:eastAsia="仿宋" w:cs="Times New Roman"/>
          <w:color w:val="000000" w:themeColor="text1"/>
          <w:sz w:val="28"/>
          <w:szCs w:val="28"/>
          <w14:textFill>
            <w14:solidFill>
              <w14:schemeClr w14:val="tx1"/>
            </w14:solidFill>
          </w14:textFill>
        </w:rPr>
        <w:t>期间（以下简称本评估期），</w:t>
      </w:r>
      <w:r>
        <w:rPr>
          <w:rFonts w:hint="eastAsia" w:ascii="Times New Roman" w:hAnsi="Times New Roman" w:eastAsia="仿宋_GB2312" w:cs="Times New Roman"/>
          <w:sz w:val="28"/>
          <w:szCs w:val="28"/>
        </w:rPr>
        <w:t>石碁社工站</w:t>
      </w:r>
      <w:r>
        <w:rPr>
          <w:rFonts w:ascii="Times New Roman" w:hAnsi="Times New Roman" w:eastAsia="仿宋_GB2312" w:cs="Times New Roman"/>
          <w:color w:val="000000" w:themeColor="text1"/>
          <w:spacing w:val="-4"/>
          <w:sz w:val="28"/>
          <w:szCs w:val="28"/>
          <w14:textFill>
            <w14:solidFill>
              <w14:schemeClr w14:val="tx1"/>
            </w14:solidFill>
          </w14:textFill>
        </w:rPr>
        <w:t>收到</w:t>
      </w:r>
      <w:r>
        <w:rPr>
          <w:rFonts w:hint="eastAsia" w:ascii="Times New Roman" w:hAnsi="Times New Roman" w:eastAsia="仿宋_GB2312" w:cs="Times New Roman"/>
          <w:color w:val="000000" w:themeColor="text1"/>
          <w:spacing w:val="-4"/>
          <w:sz w:val="28"/>
          <w:szCs w:val="28"/>
          <w14:textFill>
            <w14:solidFill>
              <w14:schemeClr w14:val="tx1"/>
            </w14:solidFill>
          </w14:textFill>
        </w:rPr>
        <w:t>本协议期</w:t>
      </w:r>
      <w:r>
        <w:rPr>
          <w:rFonts w:ascii="Times New Roman" w:hAnsi="Times New Roman" w:eastAsia="仿宋_GB2312" w:cs="Times New Roman"/>
          <w:color w:val="000000" w:themeColor="text1"/>
          <w:spacing w:val="-4"/>
          <w:sz w:val="28"/>
          <w:szCs w:val="28"/>
          <w14:textFill>
            <w14:solidFill>
              <w14:schemeClr w14:val="tx1"/>
            </w14:solidFill>
          </w14:textFill>
        </w:rPr>
        <w:t>政府购买服务经费2,206,600.00元</w:t>
      </w:r>
      <w:r>
        <w:rPr>
          <w:rFonts w:hint="eastAsia" w:ascii="Times New Roman" w:hAnsi="Times New Roman" w:eastAsia="仿宋" w:cs="Times New Roman"/>
          <w:color w:val="000000" w:themeColor="text1"/>
          <w:sz w:val="28"/>
          <w:szCs w:val="28"/>
          <w14:textFill>
            <w14:solidFill>
              <w14:schemeClr w14:val="tx1"/>
            </w14:solidFill>
          </w14:textFill>
        </w:rPr>
        <w:t>。</w:t>
      </w:r>
      <w:r>
        <w:rPr>
          <w:rFonts w:ascii="Times New Roman" w:hAnsi="Times New Roman" w:eastAsia="仿宋" w:cs="Times New Roman"/>
          <w:color w:val="000000" w:themeColor="text1"/>
          <w:sz w:val="28"/>
          <w:szCs w:val="28"/>
          <w14:textFill>
            <w14:solidFill>
              <w14:schemeClr w14:val="tx1"/>
            </w14:solidFill>
          </w14:textFill>
        </w:rPr>
        <w:t>归属于本评估期的服务经费支出累计1,154,475.23元，</w:t>
      </w:r>
      <w:r>
        <w:rPr>
          <w:rFonts w:hint="eastAsia" w:ascii="Times New Roman" w:hAnsi="Times New Roman" w:eastAsia="仿宋" w:cs="Times New Roman"/>
          <w:color w:val="000000" w:themeColor="text1"/>
          <w:sz w:val="28"/>
          <w:szCs w:val="28"/>
          <w14:textFill>
            <w14:solidFill>
              <w14:schemeClr w14:val="tx1"/>
            </w14:solidFill>
          </w14:textFill>
        </w:rPr>
        <w:t>其中：</w:t>
      </w:r>
      <w:r>
        <w:rPr>
          <w:rFonts w:hint="eastAsia" w:ascii="Times New Roman" w:hAnsi="Times New Roman" w:eastAsia="仿宋_GB2312" w:cs="Times New Roman"/>
          <w:color w:val="000000" w:themeColor="text1"/>
          <w:spacing w:val="-2"/>
          <w:sz w:val="28"/>
          <w:szCs w:val="28"/>
          <w14:textFill>
            <w14:solidFill>
              <w14:schemeClr w14:val="tx1"/>
            </w14:solidFill>
          </w14:textFill>
        </w:rPr>
        <w:t>其中2025年3月至2</w:t>
      </w:r>
      <w:r>
        <w:rPr>
          <w:rFonts w:ascii="Times New Roman" w:hAnsi="Times New Roman" w:eastAsia="仿宋_GB2312" w:cs="Times New Roman"/>
          <w:color w:val="000000" w:themeColor="text1"/>
          <w:spacing w:val="-2"/>
          <w:sz w:val="28"/>
          <w:szCs w:val="28"/>
          <w14:textFill>
            <w14:solidFill>
              <w14:schemeClr w14:val="tx1"/>
            </w14:solidFill>
          </w14:textFill>
        </w:rPr>
        <w:t>02</w:t>
      </w:r>
      <w:r>
        <w:rPr>
          <w:rFonts w:hint="eastAsia" w:ascii="Times New Roman" w:hAnsi="Times New Roman" w:eastAsia="仿宋_GB2312" w:cs="Times New Roman"/>
          <w:color w:val="000000" w:themeColor="text1"/>
          <w:spacing w:val="-2"/>
          <w:sz w:val="28"/>
          <w:szCs w:val="28"/>
          <w14:textFill>
            <w14:solidFill>
              <w14:schemeClr w14:val="tx1"/>
            </w14:solidFill>
          </w14:textFill>
        </w:rPr>
        <w:t>5年8月支付</w:t>
      </w:r>
      <w:r>
        <w:rPr>
          <w:rFonts w:ascii="Times New Roman" w:hAnsi="Times New Roman" w:eastAsia="仿宋_GB2312" w:cs="Times New Roman"/>
          <w:color w:val="000000" w:themeColor="text1"/>
          <w:spacing w:val="-2"/>
          <w:sz w:val="28"/>
          <w:szCs w:val="28"/>
          <w14:textFill>
            <w14:solidFill>
              <w14:schemeClr w14:val="tx1"/>
            </w14:solidFill>
          </w14:textFill>
        </w:rPr>
        <w:t>1,052,524.81</w:t>
      </w:r>
      <w:r>
        <w:rPr>
          <w:rFonts w:hint="eastAsia" w:ascii="Times New Roman" w:hAnsi="Times New Roman" w:eastAsia="仿宋_GB2312" w:cs="Times New Roman"/>
          <w:color w:val="000000" w:themeColor="text1"/>
          <w:spacing w:val="-2"/>
          <w:sz w:val="28"/>
          <w:szCs w:val="28"/>
          <w14:textFill>
            <w14:solidFill>
              <w14:schemeClr w14:val="tx1"/>
            </w14:solidFill>
          </w14:textFill>
        </w:rPr>
        <w:t>元，2025年9月支付101,950.42元</w:t>
      </w:r>
      <w:r>
        <w:rPr>
          <w:rFonts w:ascii="Times New Roman" w:hAnsi="Times New Roman" w:eastAsia="仿宋" w:cs="Times New Roman"/>
          <w:color w:val="000000" w:themeColor="text1"/>
          <w:sz w:val="28"/>
          <w:szCs w:val="28"/>
          <w14:textFill>
            <w14:solidFill>
              <w14:schemeClr w14:val="tx1"/>
            </w14:solidFill>
          </w14:textFill>
        </w:rPr>
        <w:t>；本评估期结余金额1,052,124.77元，占实际拨入经费的47.68%。具体经费支出情况如下：</w:t>
      </w:r>
    </w:p>
    <w:p>
      <w:pPr>
        <w:spacing w:line="590" w:lineRule="exact"/>
        <w:ind w:right="139" w:rightChars="66"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㈠用于人员费用支出961,907.80元，占本评估期实收服务总经费的43.59%。其中：</w:t>
      </w:r>
    </w:p>
    <w:p>
      <w:pPr>
        <w:spacing w:line="59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１、工资总额支出795,449.31元；</w:t>
      </w:r>
    </w:p>
    <w:p>
      <w:pPr>
        <w:spacing w:line="59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２、五险金支出150,365.49元；</w:t>
      </w:r>
    </w:p>
    <w:p>
      <w:pPr>
        <w:spacing w:line="59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３、公积金支出16,093.00元</w:t>
      </w:r>
      <w:r>
        <w:rPr>
          <w:rFonts w:hint="eastAsia" w:ascii="Times New Roman" w:hAnsi="Times New Roman" w:eastAsia="仿宋_GB2312" w:cs="Times New Roman"/>
          <w:sz w:val="28"/>
          <w:szCs w:val="28"/>
        </w:rPr>
        <w:t>。</w:t>
      </w:r>
    </w:p>
    <w:p>
      <w:pPr>
        <w:spacing w:line="580" w:lineRule="exact"/>
        <w:ind w:right="-6" w:rightChars="-3"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㈡用于服务质量保障费用的支出合计111,870.63元，占本评估期实收服务总经费的5.07%，其中：</w:t>
      </w:r>
    </w:p>
    <w:p>
      <w:pPr>
        <w:spacing w:line="580" w:lineRule="exact"/>
        <w:ind w:firstLine="560" w:firstLineChars="200"/>
        <w:rPr>
          <w:rFonts w:ascii="Times New Roman" w:hAnsi="Times New Roman" w:eastAsia="仿宋_GB2312" w:cs="Times New Roman"/>
          <w:sz w:val="28"/>
          <w:szCs w:val="28"/>
        </w:rPr>
      </w:pPr>
      <w:r>
        <w:rPr>
          <w:rFonts w:hint="eastAsia" w:ascii="Times New Roman" w:hAnsi="Times New Roman" w:eastAsia="仿宋_GB2312"/>
          <w:color w:val="000000" w:themeColor="text1"/>
          <w:sz w:val="28"/>
          <w:szCs w:val="28"/>
          <w14:textFill>
            <w14:solidFill>
              <w14:schemeClr w14:val="tx1"/>
            </w14:solidFill>
          </w14:textFill>
        </w:rPr>
        <w:t>１、</w:t>
      </w:r>
      <w:r>
        <w:rPr>
          <w:rFonts w:ascii="Times New Roman" w:hAnsi="Times New Roman" w:eastAsia="仿宋_GB2312" w:cs="Times New Roman"/>
          <w:sz w:val="28"/>
          <w:szCs w:val="28"/>
        </w:rPr>
        <w:t>用于开展与专业服务和活动的支出2,448.00元，占本评估期实收服务总经费的0.11%。</w:t>
      </w:r>
    </w:p>
    <w:p>
      <w:pPr>
        <w:spacing w:line="580" w:lineRule="exact"/>
        <w:ind w:firstLine="560" w:firstLineChars="200"/>
        <w:rPr>
          <w:rFonts w:ascii="Times New Roman" w:hAnsi="Times New Roman" w:eastAsia="仿宋_GB2312"/>
          <w:color w:val="000000" w:themeColor="text1"/>
          <w:sz w:val="28"/>
          <w:szCs w:val="28"/>
          <w14:textFill>
            <w14:solidFill>
              <w14:schemeClr w14:val="tx1"/>
            </w14:solidFill>
          </w14:textFill>
        </w:rPr>
      </w:pPr>
      <w:r>
        <w:rPr>
          <w:rFonts w:hint="eastAsia" w:ascii="Times New Roman" w:hAnsi="Times New Roman" w:eastAsia="仿宋_GB2312"/>
          <w:color w:val="000000" w:themeColor="text1"/>
          <w:sz w:val="28"/>
          <w:szCs w:val="28"/>
          <w14:textFill>
            <w14:solidFill>
              <w14:schemeClr w14:val="tx1"/>
            </w14:solidFill>
          </w14:textFill>
        </w:rPr>
        <w:t>⑴服务和活动物料支出</w:t>
      </w:r>
      <w:r>
        <w:rPr>
          <w:rFonts w:ascii="Times New Roman" w:hAnsi="Times New Roman" w:eastAsia="仿宋_GB2312"/>
          <w:color w:val="000000" w:themeColor="text1"/>
          <w:sz w:val="28"/>
          <w:szCs w:val="28"/>
          <w14:textFill>
            <w14:solidFill>
              <w14:schemeClr w14:val="tx1"/>
            </w14:solidFill>
          </w14:textFill>
        </w:rPr>
        <w:t>2,114.86</w:t>
      </w:r>
      <w:r>
        <w:rPr>
          <w:rFonts w:hint="eastAsia" w:ascii="Times New Roman" w:hAnsi="Times New Roman" w:eastAsia="仿宋_GB2312"/>
          <w:color w:val="000000" w:themeColor="text1"/>
          <w:sz w:val="28"/>
          <w:szCs w:val="28"/>
          <w14:textFill>
            <w14:solidFill>
              <w14:schemeClr w14:val="tx1"/>
            </w14:solidFill>
          </w14:textFill>
        </w:rPr>
        <w:t>元；</w:t>
      </w:r>
    </w:p>
    <w:p>
      <w:pPr>
        <w:spacing w:line="580" w:lineRule="exact"/>
        <w:ind w:firstLine="560" w:firstLineChars="200"/>
        <w:rPr>
          <w:rFonts w:ascii="Times New Roman" w:hAnsi="Times New Roman" w:eastAsia="仿宋_GB2312"/>
          <w:color w:val="000000" w:themeColor="text1"/>
          <w:sz w:val="28"/>
          <w:szCs w:val="28"/>
          <w14:textFill>
            <w14:solidFill>
              <w14:schemeClr w14:val="tx1"/>
            </w14:solidFill>
          </w14:textFill>
        </w:rPr>
      </w:pPr>
      <w:r>
        <w:rPr>
          <w:rFonts w:hint="eastAsia" w:ascii="Times New Roman" w:hAnsi="Times New Roman" w:eastAsia="仿宋_GB2312"/>
          <w:color w:val="000000" w:themeColor="text1"/>
          <w:sz w:val="28"/>
          <w:szCs w:val="28"/>
          <w14:textFill>
            <w14:solidFill>
              <w14:schemeClr w14:val="tx1"/>
            </w14:solidFill>
          </w14:textFill>
        </w:rPr>
        <w:t>⑵宣传费支出</w:t>
      </w:r>
      <w:r>
        <w:rPr>
          <w:rFonts w:ascii="Times New Roman" w:hAnsi="Times New Roman" w:eastAsia="仿宋_GB2312"/>
          <w:color w:val="000000" w:themeColor="text1"/>
          <w:sz w:val="28"/>
          <w:szCs w:val="28"/>
          <w14:textFill>
            <w14:solidFill>
              <w14:schemeClr w14:val="tx1"/>
            </w14:solidFill>
          </w14:textFill>
        </w:rPr>
        <w:t>24.00</w:t>
      </w:r>
      <w:r>
        <w:rPr>
          <w:rFonts w:hint="eastAsia" w:ascii="Times New Roman" w:hAnsi="Times New Roman" w:eastAsia="仿宋_GB2312"/>
          <w:color w:val="000000" w:themeColor="text1"/>
          <w:sz w:val="28"/>
          <w:szCs w:val="28"/>
          <w14:textFill>
            <w14:solidFill>
              <w14:schemeClr w14:val="tx1"/>
            </w14:solidFill>
          </w14:textFill>
        </w:rPr>
        <w:t>元；</w:t>
      </w:r>
    </w:p>
    <w:p>
      <w:pPr>
        <w:spacing w:line="580" w:lineRule="exact"/>
        <w:ind w:firstLine="560" w:firstLineChars="200"/>
        <w:rPr>
          <w:rFonts w:ascii="Times New Roman" w:hAnsi="Times New Roman" w:eastAsia="仿宋_GB2312"/>
          <w:color w:val="000000" w:themeColor="text1"/>
          <w:sz w:val="28"/>
          <w:szCs w:val="28"/>
          <w14:textFill>
            <w14:solidFill>
              <w14:schemeClr w14:val="tx1"/>
            </w14:solidFill>
          </w14:textFill>
        </w:rPr>
      </w:pPr>
      <w:r>
        <w:rPr>
          <w:rFonts w:hint="eastAsia" w:ascii="Times New Roman" w:hAnsi="Times New Roman" w:eastAsia="仿宋_GB2312"/>
          <w:color w:val="000000" w:themeColor="text1"/>
          <w:sz w:val="28"/>
          <w:szCs w:val="28"/>
          <w14:textFill>
            <w14:solidFill>
              <w14:schemeClr w14:val="tx1"/>
            </w14:solidFill>
          </w14:textFill>
        </w:rPr>
        <w:t>⑶交通费支出</w:t>
      </w:r>
      <w:r>
        <w:rPr>
          <w:rFonts w:ascii="Times New Roman" w:hAnsi="Times New Roman" w:eastAsia="仿宋_GB2312"/>
          <w:color w:val="000000" w:themeColor="text1"/>
          <w:sz w:val="28"/>
          <w:szCs w:val="28"/>
          <w14:textFill>
            <w14:solidFill>
              <w14:schemeClr w14:val="tx1"/>
            </w14:solidFill>
          </w14:textFill>
        </w:rPr>
        <w:t>309.14</w:t>
      </w:r>
      <w:r>
        <w:rPr>
          <w:rFonts w:hint="eastAsia" w:ascii="Times New Roman" w:hAnsi="Times New Roman" w:eastAsia="仿宋_GB2312"/>
          <w:color w:val="000000" w:themeColor="text1"/>
          <w:sz w:val="28"/>
          <w:szCs w:val="28"/>
          <w14:textFill>
            <w14:solidFill>
              <w14:schemeClr w14:val="tx1"/>
            </w14:solidFill>
          </w14:textFill>
        </w:rPr>
        <w:t>元。</w:t>
      </w:r>
    </w:p>
    <w:p>
      <w:pPr>
        <w:spacing w:line="580" w:lineRule="exact"/>
        <w:ind w:firstLine="520" w:firstLineChars="200"/>
        <w:rPr>
          <w:rFonts w:ascii="Times New Roman" w:hAnsi="Times New Roman" w:eastAsia="仿宋_GB2312" w:cs="Times New Roman"/>
          <w:spacing w:val="-10"/>
          <w:sz w:val="28"/>
          <w:szCs w:val="28"/>
        </w:rPr>
      </w:pPr>
      <w:r>
        <w:rPr>
          <w:rFonts w:hint="eastAsia" w:ascii="Times New Roman" w:hAnsi="Times New Roman" w:eastAsia="仿宋_GB2312"/>
          <w:color w:val="000000" w:themeColor="text1"/>
          <w:spacing w:val="-10"/>
          <w:sz w:val="28"/>
          <w:szCs w:val="28"/>
          <w14:textFill>
            <w14:solidFill>
              <w14:schemeClr w14:val="tx1"/>
            </w14:solidFill>
          </w14:textFill>
        </w:rPr>
        <w:t>２、</w:t>
      </w:r>
      <w:r>
        <w:rPr>
          <w:rFonts w:ascii="Times New Roman" w:hAnsi="Times New Roman" w:eastAsia="仿宋_GB2312" w:cs="Times New Roman"/>
          <w:spacing w:val="-10"/>
          <w:sz w:val="28"/>
          <w:szCs w:val="28"/>
        </w:rPr>
        <w:t>用于日常办公费用支出24,546.66元，占本评估期实收服务总经费的1.11%。</w:t>
      </w:r>
    </w:p>
    <w:p>
      <w:pPr>
        <w:spacing w:line="580" w:lineRule="exact"/>
        <w:ind w:firstLine="560" w:firstLineChars="200"/>
        <w:rPr>
          <w:rFonts w:ascii="Times New Roman" w:hAnsi="Times New Roman" w:eastAsia="仿宋" w:cs="Times New Roman"/>
          <w:sz w:val="28"/>
          <w:szCs w:val="28"/>
        </w:rPr>
      </w:pPr>
      <w:r>
        <w:rPr>
          <w:rFonts w:hint="eastAsia" w:ascii="宋体" w:hAnsi="宋体" w:eastAsia="宋体" w:cs="宋体"/>
          <w:sz w:val="28"/>
          <w:szCs w:val="28"/>
        </w:rPr>
        <w:t>⑴</w:t>
      </w:r>
      <w:r>
        <w:rPr>
          <w:rFonts w:hint="eastAsia" w:ascii="Times New Roman" w:hAnsi="Times New Roman" w:eastAsia="仿宋" w:cs="Times New Roman"/>
          <w:sz w:val="28"/>
          <w:szCs w:val="28"/>
        </w:rPr>
        <w:t>办公费支出</w:t>
      </w:r>
      <w:r>
        <w:rPr>
          <w:rFonts w:ascii="Times New Roman" w:hAnsi="Times New Roman" w:eastAsia="仿宋" w:cs="Times New Roman"/>
          <w:sz w:val="28"/>
          <w:szCs w:val="28"/>
        </w:rPr>
        <w:t>11,527.56</w:t>
      </w:r>
      <w:r>
        <w:rPr>
          <w:rFonts w:hint="eastAsia" w:ascii="Times New Roman" w:hAnsi="Times New Roman" w:eastAsia="仿宋" w:cs="Times New Roman"/>
          <w:sz w:val="28"/>
          <w:szCs w:val="28"/>
        </w:rPr>
        <w:t>元；</w:t>
      </w:r>
    </w:p>
    <w:p>
      <w:pPr>
        <w:spacing w:line="580" w:lineRule="exact"/>
        <w:ind w:firstLine="560" w:firstLineChars="200"/>
        <w:rPr>
          <w:rFonts w:ascii="Times New Roman" w:hAnsi="Times New Roman" w:eastAsia="仿宋" w:cs="Times New Roman"/>
          <w:sz w:val="28"/>
          <w:szCs w:val="28"/>
        </w:rPr>
      </w:pPr>
      <w:r>
        <w:rPr>
          <w:rFonts w:hint="eastAsia" w:ascii="宋体" w:hAnsi="宋体" w:eastAsia="宋体" w:cs="宋体"/>
          <w:sz w:val="28"/>
          <w:szCs w:val="28"/>
        </w:rPr>
        <w:t>⑵</w:t>
      </w:r>
      <w:r>
        <w:rPr>
          <w:rFonts w:hint="eastAsia" w:ascii="Times New Roman" w:hAnsi="Times New Roman" w:eastAsia="仿宋" w:cs="Times New Roman"/>
          <w:sz w:val="28"/>
          <w:szCs w:val="28"/>
        </w:rPr>
        <w:t>水电费支出</w:t>
      </w:r>
      <w:r>
        <w:rPr>
          <w:rFonts w:ascii="Times New Roman" w:hAnsi="Times New Roman" w:eastAsia="仿宋" w:cs="Times New Roman"/>
          <w:sz w:val="28"/>
          <w:szCs w:val="28"/>
        </w:rPr>
        <w:t>12,000.00</w:t>
      </w:r>
      <w:r>
        <w:rPr>
          <w:rFonts w:hint="eastAsia" w:ascii="Times New Roman" w:hAnsi="Times New Roman" w:eastAsia="仿宋" w:cs="Times New Roman"/>
          <w:sz w:val="28"/>
          <w:szCs w:val="28"/>
        </w:rPr>
        <w:t>元；</w:t>
      </w:r>
    </w:p>
    <w:p>
      <w:pPr>
        <w:spacing w:line="580" w:lineRule="exact"/>
        <w:ind w:firstLine="560" w:firstLineChars="200"/>
        <w:rPr>
          <w:rFonts w:ascii="Times New Roman" w:hAnsi="Times New Roman" w:eastAsia="仿宋" w:cs="Times New Roman"/>
          <w:sz w:val="28"/>
          <w:szCs w:val="28"/>
        </w:rPr>
      </w:pPr>
      <w:r>
        <w:rPr>
          <w:rFonts w:hint="eastAsia" w:ascii="宋体" w:hAnsi="宋体" w:eastAsia="宋体" w:cs="宋体"/>
          <w:sz w:val="28"/>
          <w:szCs w:val="28"/>
        </w:rPr>
        <w:t>⑶</w:t>
      </w:r>
      <w:r>
        <w:rPr>
          <w:rFonts w:hint="eastAsia" w:ascii="Times New Roman" w:hAnsi="Times New Roman" w:eastAsia="仿宋" w:cs="Times New Roman"/>
          <w:sz w:val="28"/>
          <w:szCs w:val="28"/>
        </w:rPr>
        <w:t>电话费支出</w:t>
      </w:r>
      <w:r>
        <w:rPr>
          <w:rFonts w:ascii="Times New Roman" w:hAnsi="Times New Roman" w:eastAsia="仿宋" w:cs="Times New Roman"/>
          <w:sz w:val="28"/>
          <w:szCs w:val="28"/>
        </w:rPr>
        <w:t>779.10</w:t>
      </w:r>
      <w:bookmarkStart w:id="9" w:name="OLE_LINK1"/>
      <w:r>
        <w:rPr>
          <w:rFonts w:hint="eastAsia" w:ascii="Times New Roman" w:hAnsi="Times New Roman" w:eastAsia="仿宋" w:cs="Times New Roman"/>
          <w:sz w:val="28"/>
          <w:szCs w:val="28"/>
        </w:rPr>
        <w:t>元</w:t>
      </w:r>
      <w:bookmarkEnd w:id="9"/>
      <w:r>
        <w:rPr>
          <w:rFonts w:hint="eastAsia" w:ascii="Times New Roman" w:hAnsi="Times New Roman" w:eastAsia="仿宋" w:cs="Times New Roman"/>
          <w:sz w:val="28"/>
          <w:szCs w:val="28"/>
        </w:rPr>
        <w:t>；</w:t>
      </w:r>
    </w:p>
    <w:p>
      <w:pPr>
        <w:spacing w:line="580" w:lineRule="exact"/>
        <w:ind w:firstLine="560" w:firstLineChars="200"/>
        <w:rPr>
          <w:rFonts w:ascii="Times New Roman" w:hAnsi="Times New Roman" w:eastAsia="仿宋" w:cs="Times New Roman"/>
          <w:sz w:val="28"/>
          <w:szCs w:val="28"/>
        </w:rPr>
      </w:pPr>
      <w:r>
        <w:rPr>
          <w:rFonts w:hint="eastAsia" w:ascii="宋体" w:hAnsi="宋体" w:eastAsia="宋体" w:cs="宋体"/>
          <w:sz w:val="28"/>
          <w:szCs w:val="28"/>
        </w:rPr>
        <w:t>⑷</w:t>
      </w:r>
      <w:r>
        <w:rPr>
          <w:rFonts w:hint="eastAsia" w:ascii="Times New Roman" w:hAnsi="Times New Roman" w:eastAsia="仿宋" w:cs="Times New Roman"/>
          <w:sz w:val="28"/>
          <w:szCs w:val="28"/>
        </w:rPr>
        <w:t>银行手续费支出</w:t>
      </w:r>
      <w:r>
        <w:rPr>
          <w:rFonts w:ascii="Times New Roman" w:hAnsi="Times New Roman" w:eastAsia="仿宋" w:cs="Times New Roman"/>
          <w:sz w:val="28"/>
          <w:szCs w:val="28"/>
        </w:rPr>
        <w:t>240.00</w:t>
      </w:r>
      <w:r>
        <w:rPr>
          <w:rFonts w:hint="eastAsia" w:ascii="Times New Roman" w:hAnsi="Times New Roman" w:eastAsia="仿宋" w:cs="Times New Roman"/>
          <w:sz w:val="28"/>
          <w:szCs w:val="28"/>
        </w:rPr>
        <w:t>元。</w:t>
      </w:r>
    </w:p>
    <w:p>
      <w:pPr>
        <w:spacing w:line="580" w:lineRule="exact"/>
        <w:ind w:right="-6" w:rightChars="-3"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３</w:t>
      </w:r>
      <w:r>
        <w:rPr>
          <w:rFonts w:ascii="Times New Roman" w:hAnsi="Times New Roman" w:eastAsia="仿宋_GB2312" w:cs="Times New Roman"/>
          <w:sz w:val="28"/>
          <w:szCs w:val="28"/>
        </w:rPr>
        <w:t>、</w:t>
      </w:r>
      <w:r>
        <w:rPr>
          <w:rFonts w:hint="eastAsia" w:ascii="Times New Roman" w:hAnsi="Times New Roman" w:eastAsia="仿宋_GB2312"/>
          <w:color w:val="000000" w:themeColor="text1"/>
          <w:sz w:val="28"/>
          <w:szCs w:val="28"/>
          <w14:textFill>
            <w14:solidFill>
              <w14:schemeClr w14:val="tx1"/>
            </w14:solidFill>
          </w14:textFill>
        </w:rPr>
        <w:t>用于机构年度相关税费支出</w:t>
      </w:r>
      <w:r>
        <w:rPr>
          <w:rFonts w:ascii="Times New Roman" w:hAnsi="Times New Roman" w:eastAsia="仿宋_GB2312"/>
          <w:color w:val="000000" w:themeColor="text1"/>
          <w:sz w:val="28"/>
          <w:szCs w:val="28"/>
          <w14:textFill>
            <w14:solidFill>
              <w14:schemeClr w14:val="tx1"/>
            </w14:solidFill>
          </w14:textFill>
        </w:rPr>
        <w:t>84,875.97</w:t>
      </w:r>
      <w:r>
        <w:rPr>
          <w:rFonts w:hint="eastAsia" w:ascii="Times New Roman" w:hAnsi="Times New Roman" w:eastAsia="仿宋_GB2312"/>
          <w:color w:val="000000" w:themeColor="text1"/>
          <w:sz w:val="28"/>
          <w:szCs w:val="28"/>
          <w14:textFill>
            <w14:solidFill>
              <w14:schemeClr w14:val="tx1"/>
            </w14:solidFill>
          </w14:textFill>
        </w:rPr>
        <w:t>元，占本评估期实收服务总经费的</w:t>
      </w:r>
      <w:r>
        <w:rPr>
          <w:rFonts w:ascii="Times New Roman" w:hAnsi="Times New Roman" w:eastAsia="仿宋_GB2312"/>
          <w:color w:val="000000" w:themeColor="text1"/>
          <w:sz w:val="28"/>
          <w:szCs w:val="28"/>
          <w14:textFill>
            <w14:solidFill>
              <w14:schemeClr w14:val="tx1"/>
            </w14:solidFill>
          </w14:textFill>
        </w:rPr>
        <w:t>3.85%</w:t>
      </w:r>
      <w:r>
        <w:rPr>
          <w:rFonts w:hint="eastAsia" w:ascii="Times New Roman" w:hAnsi="Times New Roman" w:eastAsia="仿宋_GB2312"/>
          <w:color w:val="000000" w:themeColor="text1"/>
          <w:sz w:val="28"/>
          <w:szCs w:val="28"/>
          <w14:textFill>
            <w14:solidFill>
              <w14:schemeClr w14:val="tx1"/>
            </w14:solidFill>
          </w14:textFill>
        </w:rPr>
        <w:t>。</w:t>
      </w:r>
    </w:p>
    <w:p>
      <w:pPr>
        <w:spacing w:line="620" w:lineRule="exact"/>
        <w:ind w:right="-6" w:rightChars="-3"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㈢用于运营管理费用支出80,696.80元，占本评估期实收服务总经费的3.66%，其中：</w:t>
      </w:r>
    </w:p>
    <w:p>
      <w:pPr>
        <w:spacing w:line="62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１、分摊机构人员工资</w:t>
      </w:r>
      <w:r>
        <w:rPr>
          <w:rFonts w:ascii="Times New Roman" w:hAnsi="Times New Roman" w:eastAsia="仿宋" w:cs="Times New Roman"/>
          <w:sz w:val="28"/>
          <w:szCs w:val="28"/>
        </w:rPr>
        <w:t>51,577.60</w:t>
      </w:r>
      <w:r>
        <w:rPr>
          <w:rFonts w:hint="eastAsia" w:ascii="Times New Roman" w:hAnsi="Times New Roman" w:eastAsia="仿宋" w:cs="Times New Roman"/>
          <w:sz w:val="28"/>
          <w:szCs w:val="28"/>
        </w:rPr>
        <w:t>元；</w:t>
      </w:r>
      <w:r>
        <w:rPr>
          <w:rFonts w:ascii="Times New Roman" w:hAnsi="Times New Roman" w:eastAsia="仿宋" w:cs="Times New Roman"/>
          <w:sz w:val="28"/>
          <w:szCs w:val="28"/>
        </w:rPr>
        <w:t xml:space="preserve"> </w:t>
      </w:r>
    </w:p>
    <w:p>
      <w:pPr>
        <w:spacing w:line="62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２、分摊机构人员社保</w:t>
      </w:r>
      <w:r>
        <w:rPr>
          <w:rFonts w:ascii="Times New Roman" w:hAnsi="Times New Roman" w:eastAsia="仿宋" w:cs="Times New Roman"/>
          <w:sz w:val="28"/>
          <w:szCs w:val="28"/>
        </w:rPr>
        <w:t>7,124.65</w:t>
      </w:r>
      <w:r>
        <w:rPr>
          <w:rFonts w:hint="eastAsia" w:ascii="Times New Roman" w:hAnsi="Times New Roman" w:eastAsia="仿宋" w:cs="Times New Roman"/>
          <w:sz w:val="28"/>
          <w:szCs w:val="28"/>
        </w:rPr>
        <w:t>元；</w:t>
      </w:r>
    </w:p>
    <w:p>
      <w:pPr>
        <w:spacing w:line="62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３、分摊机构人员公积金</w:t>
      </w:r>
      <w:r>
        <w:rPr>
          <w:rFonts w:ascii="Times New Roman" w:hAnsi="Times New Roman" w:eastAsia="仿宋" w:cs="Times New Roman"/>
          <w:sz w:val="28"/>
          <w:szCs w:val="28"/>
        </w:rPr>
        <w:t>575.95</w:t>
      </w:r>
      <w:r>
        <w:rPr>
          <w:rFonts w:hint="eastAsia" w:ascii="Times New Roman" w:hAnsi="Times New Roman" w:eastAsia="仿宋" w:cs="Times New Roman"/>
          <w:sz w:val="28"/>
          <w:szCs w:val="28"/>
        </w:rPr>
        <w:t>元；</w:t>
      </w:r>
    </w:p>
    <w:p>
      <w:pPr>
        <w:spacing w:line="62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４、机构费用分摊</w:t>
      </w:r>
      <w:r>
        <w:rPr>
          <w:rFonts w:ascii="Times New Roman" w:hAnsi="Times New Roman" w:eastAsia="仿宋" w:cs="Times New Roman"/>
          <w:sz w:val="28"/>
          <w:szCs w:val="28"/>
        </w:rPr>
        <w:t>19,419.45</w:t>
      </w:r>
      <w:r>
        <w:rPr>
          <w:rFonts w:hint="eastAsia" w:ascii="Times New Roman" w:hAnsi="Times New Roman" w:eastAsia="仿宋" w:cs="Times New Roman"/>
          <w:sz w:val="28"/>
          <w:szCs w:val="28"/>
        </w:rPr>
        <w:t>元；</w:t>
      </w:r>
    </w:p>
    <w:p>
      <w:pPr>
        <w:spacing w:line="62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５、社工交流费用支出</w:t>
      </w:r>
      <w:r>
        <w:rPr>
          <w:rFonts w:ascii="Times New Roman" w:hAnsi="Times New Roman" w:eastAsia="仿宋" w:cs="Times New Roman"/>
          <w:sz w:val="28"/>
          <w:szCs w:val="28"/>
        </w:rPr>
        <w:t>1,999.15</w:t>
      </w:r>
      <w:r>
        <w:rPr>
          <w:rFonts w:hint="eastAsia" w:ascii="Times New Roman" w:hAnsi="Times New Roman" w:eastAsia="仿宋" w:cs="Times New Roman"/>
          <w:sz w:val="28"/>
          <w:szCs w:val="28"/>
        </w:rPr>
        <w:t>元。</w:t>
      </w:r>
    </w:p>
    <w:p>
      <w:pPr>
        <w:spacing w:line="620" w:lineRule="exact"/>
        <w:ind w:right="-2"/>
        <w:outlineLvl w:val="0"/>
        <w:rPr>
          <w:rFonts w:ascii="Times New Roman" w:hAnsi="Times New Roman" w:eastAsia="仿宋_GB2312" w:cs="Times New Roman"/>
          <w:sz w:val="28"/>
          <w:szCs w:val="28"/>
        </w:rPr>
      </w:pPr>
      <w:r>
        <w:rPr>
          <w:rFonts w:ascii="Times New Roman" w:hAnsi="Times New Roman" w:eastAsia="仿宋_GB2312" w:cs="Times New Roman"/>
          <w:b/>
          <w:color w:val="000000" w:themeColor="text1"/>
          <w:sz w:val="28"/>
          <w:szCs w:val="28"/>
          <w14:textFill>
            <w14:solidFill>
              <w14:schemeClr w14:val="tx1"/>
            </w14:solidFill>
          </w14:textFill>
        </w:rPr>
        <w:t>七、本次服务协议期（</w:t>
      </w:r>
      <w:r>
        <w:rPr>
          <w:rFonts w:hint="eastAsia" w:ascii="Times New Roman" w:hAnsi="Times New Roman" w:eastAsia="仿宋_GB2312" w:cs="Times New Roman"/>
          <w:b/>
          <w:color w:val="000000" w:themeColor="text1"/>
          <w:sz w:val="28"/>
          <w:szCs w:val="28"/>
          <w14:textFill>
            <w14:solidFill>
              <w14:schemeClr w14:val="tx1"/>
            </w14:solidFill>
          </w14:textFill>
        </w:rPr>
        <w:t>2024年8月24日至2025年8月23日</w:t>
      </w:r>
      <w:r>
        <w:rPr>
          <w:rFonts w:ascii="Times New Roman" w:hAnsi="Times New Roman" w:eastAsia="仿宋_GB2312" w:cs="Times New Roman"/>
          <w:b/>
          <w:sz w:val="28"/>
          <w:szCs w:val="28"/>
        </w:rPr>
        <w:t>）经费总拨入、支出、结余情况</w:t>
      </w:r>
    </w:p>
    <w:p>
      <w:pPr>
        <w:spacing w:line="630" w:lineRule="exact"/>
        <w:ind w:firstLine="560" w:firstLineChars="200"/>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sz w:val="28"/>
          <w:szCs w:val="28"/>
        </w:rPr>
        <w:t>根据“</w:t>
      </w:r>
      <w:r>
        <w:rPr>
          <w:rFonts w:hint="eastAsia" w:ascii="Times New Roman" w:hAnsi="Times New Roman" w:eastAsia="仿宋_GB2312" w:cs="Times New Roman"/>
          <w:sz w:val="28"/>
          <w:szCs w:val="28"/>
        </w:rPr>
        <w:t>业会专审[2025]048号</w:t>
      </w:r>
      <w:r>
        <w:rPr>
          <w:rFonts w:ascii="Times New Roman" w:hAnsi="Times New Roman" w:eastAsia="仿宋_GB2312" w:cs="Times New Roman"/>
          <w:sz w:val="28"/>
          <w:szCs w:val="28"/>
        </w:rPr>
        <w:t>”财务管理情况评估报告并结合本评估报告</w:t>
      </w:r>
      <w:r>
        <w:rPr>
          <w:rFonts w:hint="eastAsia" w:ascii="Times New Roman" w:hAnsi="Times New Roman" w:eastAsia="仿宋_GB2312" w:cs="Times New Roman"/>
          <w:sz w:val="28"/>
          <w:szCs w:val="28"/>
        </w:rPr>
        <w:t>2025年2月24日至2025年8月23日</w:t>
      </w:r>
      <w:r>
        <w:rPr>
          <w:rFonts w:ascii="Times New Roman" w:hAnsi="Times New Roman" w:eastAsia="仿宋_GB2312" w:cs="Times New Roman"/>
          <w:sz w:val="28"/>
          <w:szCs w:val="28"/>
        </w:rPr>
        <w:t>财务管理评估情况，截至</w:t>
      </w:r>
      <w:r>
        <w:rPr>
          <w:rFonts w:hint="eastAsia" w:ascii="Times New Roman" w:hAnsi="Times New Roman" w:eastAsia="仿宋_GB2312" w:cs="Times New Roman"/>
          <w:sz w:val="28"/>
          <w:szCs w:val="28"/>
        </w:rPr>
        <w:t>报告</w:t>
      </w:r>
      <w:r>
        <w:rPr>
          <w:rFonts w:ascii="Times New Roman" w:hAnsi="Times New Roman" w:eastAsia="仿宋_GB2312" w:cs="Times New Roman"/>
          <w:sz w:val="28"/>
          <w:szCs w:val="28"/>
        </w:rPr>
        <w:t>日，</w:t>
      </w:r>
      <w:r>
        <w:rPr>
          <w:rFonts w:hint="eastAsia" w:ascii="Times New Roman" w:hAnsi="Times New Roman" w:eastAsia="仿宋_GB2312" w:cs="Times New Roman"/>
          <w:sz w:val="28"/>
          <w:szCs w:val="28"/>
        </w:rPr>
        <w:t>石碁社工站</w:t>
      </w:r>
      <w:r>
        <w:rPr>
          <w:rFonts w:ascii="Times New Roman" w:hAnsi="Times New Roman" w:eastAsia="仿宋_GB2312" w:cs="Times New Roman"/>
          <w:sz w:val="28"/>
          <w:szCs w:val="28"/>
        </w:rPr>
        <w:t>累计已收到本次服务协议期政府采购服务经费2,206,600.00元，</w:t>
      </w:r>
      <w:r>
        <w:rPr>
          <w:rFonts w:hint="eastAsia" w:ascii="Times New Roman" w:hAnsi="Times New Roman" w:eastAsia="仿宋_GB2312" w:cs="Times New Roman"/>
          <w:sz w:val="28"/>
          <w:szCs w:val="28"/>
        </w:rPr>
        <w:t>累计支出服务经费</w:t>
      </w:r>
      <w:r>
        <w:rPr>
          <w:rFonts w:ascii="Times New Roman" w:hAnsi="Times New Roman" w:eastAsia="仿宋_GB2312" w:cs="Times New Roman"/>
          <w:sz w:val="28"/>
          <w:szCs w:val="28"/>
        </w:rPr>
        <w:t>2,362,532.77，结余金额为-155,932.77元（不含未拨入的116,100.00 元）</w:t>
      </w:r>
      <w:r>
        <w:rPr>
          <w:rFonts w:ascii="Times New Roman" w:hAnsi="Times New Roman" w:eastAsia="仿宋_GB2312" w:cs="Times New Roman"/>
          <w:color w:val="000000" w:themeColor="text1"/>
          <w:sz w:val="28"/>
          <w:szCs w:val="28"/>
          <w14:textFill>
            <w14:solidFill>
              <w14:schemeClr w14:val="tx1"/>
            </w14:solidFill>
          </w14:textFill>
        </w:rPr>
        <w:t>。</w:t>
      </w:r>
    </w:p>
    <w:p>
      <w:pPr>
        <w:spacing w:line="630" w:lineRule="exact"/>
        <w:ind w:firstLine="560" w:firstLineChars="200"/>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经评估，用于人员费用支出占服务总经费的85.44%，</w:t>
      </w:r>
      <w:r>
        <w:rPr>
          <w:rFonts w:hint="eastAsia" w:ascii="Times New Roman" w:hAnsi="Times New Roman" w:eastAsia="仿宋_GB2312" w:cs="Times New Roman"/>
          <w:color w:val="000000" w:themeColor="text1"/>
          <w:sz w:val="28"/>
          <w:szCs w:val="28"/>
          <w14:textFill>
            <w14:solidFill>
              <w14:schemeClr w14:val="tx1"/>
            </w14:solidFill>
          </w14:textFill>
        </w:rPr>
        <w:t>服务质量保障费用及承接机构管理费用占服务总经费的</w:t>
      </w:r>
      <w:r>
        <w:rPr>
          <w:rFonts w:ascii="Times New Roman" w:hAnsi="Times New Roman" w:eastAsia="仿宋_GB2312" w:cs="Times New Roman"/>
          <w:color w:val="000000" w:themeColor="text1"/>
          <w:sz w:val="28"/>
          <w:szCs w:val="28"/>
          <w14:textFill>
            <w14:solidFill>
              <w14:schemeClr w14:val="tx1"/>
            </w14:solidFill>
          </w14:textFill>
        </w:rPr>
        <w:t>16.28%</w:t>
      </w:r>
      <w:r>
        <w:rPr>
          <w:rFonts w:hint="eastAsia" w:ascii="Times New Roman" w:hAnsi="Times New Roman" w:eastAsia="仿宋_GB2312" w:cs="Times New Roman"/>
          <w:color w:val="000000" w:themeColor="text1"/>
          <w:sz w:val="28"/>
          <w:szCs w:val="28"/>
          <w14:textFill>
            <w14:solidFill>
              <w14:schemeClr w14:val="tx1"/>
            </w14:solidFill>
          </w14:textFill>
        </w:rPr>
        <w:t>，其中承接机构管理费用占服务总经费的</w:t>
      </w:r>
      <w:r>
        <w:rPr>
          <w:rFonts w:ascii="Times New Roman" w:hAnsi="Times New Roman" w:eastAsia="仿宋_GB2312" w:cs="Times New Roman"/>
          <w:color w:val="000000" w:themeColor="text1"/>
          <w:sz w:val="28"/>
          <w:szCs w:val="28"/>
          <w14:textFill>
            <w14:solidFill>
              <w14:schemeClr w14:val="tx1"/>
            </w14:solidFill>
          </w14:textFill>
        </w:rPr>
        <w:t>7.18%</w:t>
      </w:r>
      <w:r>
        <w:rPr>
          <w:rFonts w:hint="eastAsia" w:ascii="Times New Roman" w:hAnsi="Times New Roman" w:eastAsia="仿宋_GB2312" w:cs="Times New Roman"/>
          <w:color w:val="000000" w:themeColor="text1"/>
          <w:sz w:val="28"/>
          <w:szCs w:val="28"/>
          <w14:textFill>
            <w14:solidFill>
              <w14:schemeClr w14:val="tx1"/>
            </w14:solidFill>
          </w14:textFill>
        </w:rPr>
        <w:t>。</w:t>
      </w:r>
      <w:r>
        <w:rPr>
          <w:rFonts w:ascii="Times New Roman" w:hAnsi="Times New Roman" w:eastAsia="仿宋_GB2312" w:cs="Times New Roman"/>
          <w:color w:val="000000" w:themeColor="text1"/>
          <w:sz w:val="28"/>
          <w:szCs w:val="28"/>
          <w14:textFill>
            <w14:solidFill>
              <w14:schemeClr w14:val="tx1"/>
            </w14:solidFill>
          </w14:textFill>
        </w:rPr>
        <w:t>具体经费支出情况如下：</w:t>
      </w:r>
    </w:p>
    <w:p>
      <w:pPr>
        <w:spacing w:line="63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color w:val="000000" w:themeColor="text1"/>
          <w:sz w:val="28"/>
          <w:szCs w:val="28"/>
          <w14:textFill>
            <w14:solidFill>
              <w14:schemeClr w14:val="tx1"/>
            </w14:solidFill>
          </w14:textFill>
        </w:rPr>
        <w:t>㈠用于</w:t>
      </w:r>
      <w:r>
        <w:rPr>
          <w:rFonts w:hint="eastAsia" w:ascii="Times New Roman" w:hAnsi="Times New Roman" w:eastAsia="仿宋_GB2312" w:cs="Times New Roman"/>
          <w:sz w:val="28"/>
          <w:szCs w:val="28"/>
        </w:rPr>
        <w:t>石碁社工站</w:t>
      </w:r>
      <w:r>
        <w:rPr>
          <w:rFonts w:ascii="Times New Roman" w:hAnsi="Times New Roman" w:eastAsia="仿宋_GB2312" w:cs="Times New Roman"/>
          <w:color w:val="000000" w:themeColor="text1"/>
          <w:sz w:val="28"/>
          <w:szCs w:val="28"/>
          <w14:textFill>
            <w14:solidFill>
              <w14:schemeClr w14:val="tx1"/>
            </w14:solidFill>
          </w14:textFill>
        </w:rPr>
        <w:t>人员费用支出1,984,409.46元，占服务总经费的85.44%，预算执行率106.79%</w:t>
      </w:r>
      <w:r>
        <w:rPr>
          <w:rFonts w:ascii="Times New Roman" w:hAnsi="Times New Roman" w:eastAsia="仿宋_GB2312" w:cs="Times New Roman"/>
          <w:sz w:val="28"/>
          <w:szCs w:val="28"/>
        </w:rPr>
        <w:t>。其中：</w:t>
      </w:r>
    </w:p>
    <w:p>
      <w:pPr>
        <w:spacing w:line="630" w:lineRule="exact"/>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１、工资总额支出</w:t>
      </w:r>
      <w:r>
        <w:rPr>
          <w:rFonts w:ascii="Times New Roman" w:hAnsi="Times New Roman" w:eastAsia="仿宋_GB2312" w:cs="Times New Roman"/>
          <w:sz w:val="28"/>
          <w:szCs w:val="28"/>
        </w:rPr>
        <w:t>1,653,063.97</w:t>
      </w:r>
      <w:r>
        <w:rPr>
          <w:rFonts w:hint="eastAsia" w:ascii="Times New Roman" w:hAnsi="Times New Roman" w:eastAsia="仿宋_GB2312" w:cs="Times New Roman"/>
          <w:sz w:val="28"/>
          <w:szCs w:val="28"/>
        </w:rPr>
        <w:t>元；</w:t>
      </w:r>
    </w:p>
    <w:p>
      <w:pPr>
        <w:spacing w:line="630" w:lineRule="exact"/>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２、五险金支出</w:t>
      </w:r>
      <w:r>
        <w:rPr>
          <w:rFonts w:ascii="Times New Roman" w:hAnsi="Times New Roman" w:eastAsia="仿宋_GB2312" w:cs="Times New Roman"/>
          <w:sz w:val="28"/>
          <w:szCs w:val="28"/>
        </w:rPr>
        <w:t>298,760.49</w:t>
      </w:r>
      <w:r>
        <w:rPr>
          <w:rFonts w:hint="eastAsia" w:ascii="Times New Roman" w:hAnsi="Times New Roman" w:eastAsia="仿宋_GB2312" w:cs="Times New Roman"/>
          <w:sz w:val="28"/>
          <w:szCs w:val="28"/>
        </w:rPr>
        <w:t>元；</w:t>
      </w:r>
    </w:p>
    <w:p>
      <w:pPr>
        <w:spacing w:line="630" w:lineRule="exact"/>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３、公积金支出</w:t>
      </w:r>
      <w:r>
        <w:rPr>
          <w:rFonts w:ascii="Times New Roman" w:hAnsi="Times New Roman" w:eastAsia="仿宋_GB2312" w:cs="Times New Roman"/>
          <w:sz w:val="28"/>
          <w:szCs w:val="28"/>
        </w:rPr>
        <w:t>32,585.00</w:t>
      </w:r>
      <w:r>
        <w:rPr>
          <w:rFonts w:hint="eastAsia" w:ascii="Times New Roman" w:hAnsi="Times New Roman" w:eastAsia="仿宋_GB2312" w:cs="Times New Roman"/>
          <w:sz w:val="28"/>
          <w:szCs w:val="28"/>
        </w:rPr>
        <w:t>元。</w:t>
      </w:r>
    </w:p>
    <w:p>
      <w:pPr>
        <w:spacing w:line="630" w:lineRule="exact"/>
        <w:ind w:right="-6" w:rightChars="-3"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㈡用于</w:t>
      </w:r>
      <w:r>
        <w:rPr>
          <w:rFonts w:hint="eastAsia" w:ascii="Times New Roman" w:hAnsi="Times New Roman" w:eastAsia="仿宋_GB2312" w:cs="Times New Roman"/>
          <w:sz w:val="28"/>
          <w:szCs w:val="28"/>
        </w:rPr>
        <w:t>石碁社工站</w:t>
      </w:r>
      <w:r>
        <w:rPr>
          <w:rFonts w:ascii="Times New Roman" w:hAnsi="Times New Roman" w:eastAsia="仿宋_GB2312" w:cs="Times New Roman"/>
          <w:sz w:val="28"/>
          <w:szCs w:val="28"/>
        </w:rPr>
        <w:t>服务质量保障费用的支出合计211,427.70元，占服务总经费的9.10%，预算执行率70.47%，其中：</w:t>
      </w:r>
    </w:p>
    <w:p>
      <w:pPr>
        <w:spacing w:line="630" w:lineRule="exact"/>
        <w:ind w:right="-6" w:rightChars="-3" w:firstLine="560" w:firstLineChars="200"/>
        <w:rPr>
          <w:rFonts w:ascii="Times New Roman" w:hAnsi="Times New Roman" w:eastAsia="仿宋_GB2312" w:cs="Times New Roman"/>
          <w:sz w:val="28"/>
          <w:szCs w:val="28"/>
        </w:rPr>
      </w:pPr>
      <w:r>
        <w:rPr>
          <w:rFonts w:ascii="Times New Roman" w:hAnsi="Times New Roman" w:eastAsia="仿宋_GB2312" w:cs="Times New Roman"/>
          <w:color w:val="000000" w:themeColor="text1"/>
          <w:sz w:val="28"/>
          <w:szCs w:val="28"/>
          <w14:textFill>
            <w14:solidFill>
              <w14:schemeClr w14:val="tx1"/>
            </w14:solidFill>
          </w14:textFill>
        </w:rPr>
        <w:t>１、</w:t>
      </w:r>
      <w:r>
        <w:rPr>
          <w:rFonts w:hint="eastAsia" w:ascii="Times New Roman" w:hAnsi="Times New Roman" w:eastAsia="仿宋_GB2312"/>
          <w:color w:val="000000" w:themeColor="text1"/>
          <w:sz w:val="28"/>
          <w:szCs w:val="28"/>
          <w14:textFill>
            <w14:solidFill>
              <w14:schemeClr w14:val="tx1"/>
            </w14:solidFill>
          </w14:textFill>
        </w:rPr>
        <w:t>用于开展与专业服务和活动的支出</w:t>
      </w:r>
      <w:r>
        <w:rPr>
          <w:rFonts w:ascii="Times New Roman" w:hAnsi="Times New Roman" w:eastAsia="仿宋_GB2312" w:cs="Times New Roman"/>
          <w:color w:val="000000" w:themeColor="text1"/>
          <w:sz w:val="28"/>
          <w:szCs w:val="28"/>
          <w14:textFill>
            <w14:solidFill>
              <w14:schemeClr w14:val="tx1"/>
            </w14:solidFill>
          </w14:textFill>
        </w:rPr>
        <w:t>38,714.47</w:t>
      </w:r>
      <w:r>
        <w:rPr>
          <w:rFonts w:hint="eastAsia" w:ascii="Times New Roman" w:hAnsi="Times New Roman" w:eastAsia="仿宋_GB2312"/>
          <w:color w:val="000000" w:themeColor="text1"/>
          <w:sz w:val="28"/>
          <w:szCs w:val="28"/>
          <w14:textFill>
            <w14:solidFill>
              <w14:schemeClr w14:val="tx1"/>
            </w14:solidFill>
          </w14:textFill>
        </w:rPr>
        <w:t>元，</w:t>
      </w:r>
      <w:r>
        <w:rPr>
          <w:rFonts w:hint="eastAsia" w:ascii="Times New Roman" w:hAnsi="Times New Roman" w:eastAsia="仿宋_GB2312" w:cs="Times New Roman"/>
          <w:sz w:val="28"/>
          <w:szCs w:val="28"/>
        </w:rPr>
        <w:t>占服务总经费的</w:t>
      </w:r>
      <w:r>
        <w:rPr>
          <w:rFonts w:ascii="Times New Roman" w:hAnsi="Times New Roman" w:eastAsia="仿宋_GB2312" w:cs="Times New Roman"/>
          <w:sz w:val="28"/>
          <w:szCs w:val="28"/>
        </w:rPr>
        <w:t>1.67%</w:t>
      </w:r>
      <w:r>
        <w:rPr>
          <w:rFonts w:hint="eastAsia" w:ascii="Times New Roman" w:hAnsi="Times New Roman" w:eastAsia="仿宋_GB2312" w:cs="Times New Roman"/>
          <w:sz w:val="28"/>
          <w:szCs w:val="28"/>
        </w:rPr>
        <w:t>。</w:t>
      </w:r>
    </w:p>
    <w:p>
      <w:pPr>
        <w:spacing w:line="630" w:lineRule="exact"/>
        <w:ind w:right="-6" w:rightChars="-3" w:firstLine="560" w:firstLineChars="200"/>
        <w:rPr>
          <w:rFonts w:ascii="Times New Roman" w:hAnsi="Times New Roman" w:eastAsia="仿宋_GB2312"/>
          <w:color w:val="000000" w:themeColor="text1"/>
          <w:sz w:val="28"/>
          <w:szCs w:val="28"/>
          <w14:textFill>
            <w14:solidFill>
              <w14:schemeClr w14:val="tx1"/>
            </w14:solidFill>
          </w14:textFill>
        </w:rPr>
      </w:pPr>
      <w:r>
        <w:rPr>
          <w:rFonts w:hint="eastAsia" w:ascii="Times New Roman" w:hAnsi="Times New Roman" w:eastAsia="仿宋_GB2312"/>
          <w:color w:val="000000" w:themeColor="text1"/>
          <w:sz w:val="28"/>
          <w:szCs w:val="28"/>
          <w14:textFill>
            <w14:solidFill>
              <w14:schemeClr w14:val="tx1"/>
            </w14:solidFill>
          </w14:textFill>
        </w:rPr>
        <w:t>⑴服务和活动物料支出</w:t>
      </w:r>
      <w:r>
        <w:rPr>
          <w:rFonts w:ascii="Times New Roman" w:hAnsi="Times New Roman" w:eastAsia="仿宋_GB2312"/>
          <w:color w:val="000000" w:themeColor="text1"/>
          <w:sz w:val="28"/>
          <w:szCs w:val="28"/>
          <w14:textFill>
            <w14:solidFill>
              <w14:schemeClr w14:val="tx1"/>
            </w14:solidFill>
          </w14:textFill>
        </w:rPr>
        <w:t>32,393.24</w:t>
      </w:r>
      <w:r>
        <w:rPr>
          <w:rFonts w:hint="eastAsia" w:ascii="Times New Roman" w:hAnsi="Times New Roman" w:eastAsia="仿宋_GB2312"/>
          <w:color w:val="000000" w:themeColor="text1"/>
          <w:sz w:val="28"/>
          <w:szCs w:val="28"/>
          <w14:textFill>
            <w14:solidFill>
              <w14:schemeClr w14:val="tx1"/>
            </w14:solidFill>
          </w14:textFill>
        </w:rPr>
        <w:t>元；</w:t>
      </w:r>
    </w:p>
    <w:p>
      <w:pPr>
        <w:spacing w:line="630" w:lineRule="exact"/>
        <w:ind w:firstLine="560" w:firstLineChars="200"/>
        <w:rPr>
          <w:rFonts w:ascii="Times New Roman" w:hAnsi="Times New Roman" w:eastAsia="仿宋_GB2312"/>
          <w:color w:val="000000" w:themeColor="text1"/>
          <w:sz w:val="28"/>
          <w:szCs w:val="28"/>
          <w14:textFill>
            <w14:solidFill>
              <w14:schemeClr w14:val="tx1"/>
            </w14:solidFill>
          </w14:textFill>
        </w:rPr>
      </w:pPr>
      <w:r>
        <w:rPr>
          <w:rFonts w:hint="eastAsia" w:ascii="Times New Roman" w:hAnsi="Times New Roman" w:eastAsia="仿宋_GB2312"/>
          <w:color w:val="000000" w:themeColor="text1"/>
          <w:sz w:val="28"/>
          <w:szCs w:val="28"/>
          <w14:textFill>
            <w14:solidFill>
              <w14:schemeClr w14:val="tx1"/>
            </w14:solidFill>
          </w14:textFill>
        </w:rPr>
        <w:t>⑵宣传费支出</w:t>
      </w:r>
      <w:r>
        <w:rPr>
          <w:rFonts w:ascii="Times New Roman" w:hAnsi="Times New Roman" w:eastAsia="仿宋_GB2312"/>
          <w:color w:val="000000" w:themeColor="text1"/>
          <w:sz w:val="28"/>
          <w:szCs w:val="28"/>
          <w14:textFill>
            <w14:solidFill>
              <w14:schemeClr w14:val="tx1"/>
            </w14:solidFill>
          </w14:textFill>
        </w:rPr>
        <w:t>1,457.50</w:t>
      </w:r>
      <w:r>
        <w:rPr>
          <w:rFonts w:hint="eastAsia" w:ascii="Times New Roman" w:hAnsi="Times New Roman" w:eastAsia="仿宋_GB2312"/>
          <w:color w:val="000000" w:themeColor="text1"/>
          <w:sz w:val="28"/>
          <w:szCs w:val="28"/>
          <w14:textFill>
            <w14:solidFill>
              <w14:schemeClr w14:val="tx1"/>
            </w14:solidFill>
          </w14:textFill>
        </w:rPr>
        <w:t>元；</w:t>
      </w:r>
    </w:p>
    <w:p>
      <w:pPr>
        <w:spacing w:line="630" w:lineRule="exact"/>
        <w:ind w:firstLine="560" w:firstLineChars="200"/>
        <w:rPr>
          <w:rFonts w:ascii="Times New Roman" w:hAnsi="Times New Roman" w:eastAsia="仿宋_GB2312"/>
          <w:color w:val="000000" w:themeColor="text1"/>
          <w:sz w:val="28"/>
          <w:szCs w:val="28"/>
          <w14:textFill>
            <w14:solidFill>
              <w14:schemeClr w14:val="tx1"/>
            </w14:solidFill>
          </w14:textFill>
        </w:rPr>
      </w:pPr>
      <w:r>
        <w:rPr>
          <w:rFonts w:hint="eastAsia" w:ascii="Times New Roman" w:hAnsi="Times New Roman" w:eastAsia="仿宋_GB2312"/>
          <w:color w:val="000000" w:themeColor="text1"/>
          <w:sz w:val="28"/>
          <w:szCs w:val="28"/>
          <w14:textFill>
            <w14:solidFill>
              <w14:schemeClr w14:val="tx1"/>
            </w14:solidFill>
          </w14:textFill>
        </w:rPr>
        <w:t>⑶交通费支出</w:t>
      </w:r>
      <w:r>
        <w:rPr>
          <w:rFonts w:ascii="Times New Roman" w:hAnsi="Times New Roman" w:eastAsia="仿宋_GB2312"/>
          <w:color w:val="000000" w:themeColor="text1"/>
          <w:sz w:val="28"/>
          <w:szCs w:val="28"/>
          <w14:textFill>
            <w14:solidFill>
              <w14:schemeClr w14:val="tx1"/>
            </w14:solidFill>
          </w14:textFill>
        </w:rPr>
        <w:t>1,563.73</w:t>
      </w:r>
      <w:r>
        <w:rPr>
          <w:rFonts w:hint="eastAsia" w:ascii="Times New Roman" w:hAnsi="Times New Roman" w:eastAsia="仿宋_GB2312"/>
          <w:color w:val="000000" w:themeColor="text1"/>
          <w:sz w:val="28"/>
          <w:szCs w:val="28"/>
          <w14:textFill>
            <w14:solidFill>
              <w14:schemeClr w14:val="tx1"/>
            </w14:solidFill>
          </w14:textFill>
        </w:rPr>
        <w:t>元；</w:t>
      </w:r>
    </w:p>
    <w:p>
      <w:pPr>
        <w:spacing w:line="630" w:lineRule="exact"/>
        <w:ind w:firstLine="560" w:firstLineChars="200"/>
        <w:rPr>
          <w:rFonts w:ascii="Times New Roman" w:hAnsi="Times New Roman" w:eastAsia="仿宋_GB2312"/>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⑷</w:t>
      </w:r>
      <w:r>
        <w:rPr>
          <w:rFonts w:hint="eastAsia" w:ascii="Times New Roman" w:hAnsi="Times New Roman" w:eastAsia="仿宋_GB2312"/>
          <w:color w:val="000000" w:themeColor="text1"/>
          <w:sz w:val="28"/>
          <w:szCs w:val="28"/>
          <w14:textFill>
            <w14:solidFill>
              <w14:schemeClr w14:val="tx1"/>
            </w14:solidFill>
          </w14:textFill>
        </w:rPr>
        <w:t>误餐费支出</w:t>
      </w:r>
      <w:r>
        <w:rPr>
          <w:rFonts w:ascii="Times New Roman" w:hAnsi="Times New Roman" w:eastAsia="仿宋_GB2312" w:cs="Times New Roman"/>
          <w:color w:val="000000" w:themeColor="text1"/>
          <w:sz w:val="28"/>
          <w:szCs w:val="28"/>
          <w14:textFill>
            <w14:solidFill>
              <w14:schemeClr w14:val="tx1"/>
            </w14:solidFill>
          </w14:textFill>
        </w:rPr>
        <w:t>3,300.00</w:t>
      </w:r>
      <w:r>
        <w:rPr>
          <w:rFonts w:hint="eastAsia" w:ascii="Times New Roman" w:hAnsi="Times New Roman" w:eastAsia="仿宋_GB2312"/>
          <w:color w:val="000000" w:themeColor="text1"/>
          <w:sz w:val="28"/>
          <w:szCs w:val="28"/>
          <w14:textFill>
            <w14:solidFill>
              <w14:schemeClr w14:val="tx1"/>
            </w14:solidFill>
          </w14:textFill>
        </w:rPr>
        <w:t>元</w:t>
      </w:r>
      <w:r>
        <w:rPr>
          <w:rFonts w:hint="eastAsia" w:ascii="Times New Roman" w:hAnsi="Times New Roman" w:eastAsia="仿宋" w:cs="Times New Roman"/>
          <w:sz w:val="28"/>
          <w:szCs w:val="28"/>
        </w:rPr>
        <w:t>。</w:t>
      </w:r>
    </w:p>
    <w:p>
      <w:pPr>
        <w:spacing w:line="630" w:lineRule="exact"/>
        <w:ind w:right="-6" w:rightChars="-3" w:firstLine="560" w:firstLineChars="200"/>
        <w:rPr>
          <w:rFonts w:ascii="Times New Roman" w:hAnsi="Times New Roman" w:eastAsia="仿宋_GB2312" w:cs="Times New Roman"/>
          <w:sz w:val="28"/>
          <w:szCs w:val="28"/>
        </w:rPr>
      </w:pPr>
      <w:r>
        <w:rPr>
          <w:rFonts w:hint="eastAsia" w:ascii="Times New Roman" w:hAnsi="Times New Roman" w:eastAsia="仿宋_GB2312"/>
          <w:color w:val="000000" w:themeColor="text1"/>
          <w:sz w:val="28"/>
          <w:szCs w:val="28"/>
          <w14:textFill>
            <w14:solidFill>
              <w14:schemeClr w14:val="tx1"/>
            </w14:solidFill>
          </w14:textFill>
        </w:rPr>
        <w:t>２、</w:t>
      </w:r>
      <w:r>
        <w:rPr>
          <w:rFonts w:hint="eastAsia" w:ascii="Times New Roman" w:hAnsi="Times New Roman" w:eastAsia="仿宋_GB2312"/>
          <w:color w:val="000000" w:themeColor="text1"/>
          <w:spacing w:val="-8"/>
          <w:sz w:val="28"/>
          <w:szCs w:val="28"/>
          <w14:textFill>
            <w14:solidFill>
              <w14:schemeClr w14:val="tx1"/>
            </w14:solidFill>
          </w14:textFill>
        </w:rPr>
        <w:t>用于日常办公费用支出</w:t>
      </w:r>
      <w:r>
        <w:rPr>
          <w:rFonts w:ascii="Times New Roman" w:hAnsi="Times New Roman" w:eastAsia="仿宋_GB2312" w:cs="Times New Roman"/>
          <w:color w:val="000000" w:themeColor="text1"/>
          <w:spacing w:val="-8"/>
          <w:sz w:val="28"/>
          <w:szCs w:val="28"/>
          <w14:textFill>
            <w14:solidFill>
              <w14:schemeClr w14:val="tx1"/>
            </w14:solidFill>
          </w14:textFill>
        </w:rPr>
        <w:t>40,317.27</w:t>
      </w:r>
      <w:r>
        <w:rPr>
          <w:rFonts w:hint="eastAsia" w:ascii="Times New Roman" w:hAnsi="Times New Roman" w:eastAsia="仿宋_GB2312"/>
          <w:color w:val="000000" w:themeColor="text1"/>
          <w:spacing w:val="-8"/>
          <w:sz w:val="28"/>
          <w:szCs w:val="28"/>
          <w14:textFill>
            <w14:solidFill>
              <w14:schemeClr w14:val="tx1"/>
            </w14:solidFill>
          </w14:textFill>
        </w:rPr>
        <w:t>元，</w:t>
      </w:r>
      <w:r>
        <w:rPr>
          <w:rFonts w:hint="eastAsia" w:ascii="Times New Roman" w:hAnsi="Times New Roman" w:eastAsia="仿宋_GB2312" w:cs="Times New Roman"/>
          <w:sz w:val="28"/>
          <w:szCs w:val="28"/>
        </w:rPr>
        <w:t>占服务总经费的</w:t>
      </w:r>
      <w:r>
        <w:rPr>
          <w:rFonts w:ascii="Times New Roman" w:hAnsi="Times New Roman" w:eastAsia="仿宋_GB2312" w:cs="Times New Roman"/>
          <w:sz w:val="28"/>
          <w:szCs w:val="28"/>
        </w:rPr>
        <w:t>1.74%</w:t>
      </w:r>
      <w:r>
        <w:rPr>
          <w:rFonts w:hint="eastAsia" w:ascii="Times New Roman" w:hAnsi="Times New Roman" w:eastAsia="仿宋_GB2312" w:cs="Times New Roman"/>
          <w:sz w:val="28"/>
          <w:szCs w:val="28"/>
        </w:rPr>
        <w:t>。</w:t>
      </w:r>
    </w:p>
    <w:p>
      <w:pPr>
        <w:spacing w:line="630" w:lineRule="exact"/>
        <w:ind w:firstLine="560" w:firstLineChars="200"/>
        <w:rPr>
          <w:rFonts w:ascii="Times New Roman" w:hAnsi="Times New Roman" w:eastAsia="仿宋_GB2312"/>
          <w:color w:val="000000" w:themeColor="text1"/>
          <w:sz w:val="28"/>
          <w:szCs w:val="28"/>
          <w14:textFill>
            <w14:solidFill>
              <w14:schemeClr w14:val="tx1"/>
            </w14:solidFill>
          </w14:textFill>
        </w:rPr>
      </w:pPr>
      <w:r>
        <w:rPr>
          <w:rFonts w:hint="eastAsia" w:ascii="Times New Roman" w:hAnsi="Times New Roman" w:eastAsia="仿宋_GB2312"/>
          <w:color w:val="000000" w:themeColor="text1"/>
          <w:sz w:val="28"/>
          <w:szCs w:val="28"/>
          <w14:textFill>
            <w14:solidFill>
              <w14:schemeClr w14:val="tx1"/>
            </w14:solidFill>
          </w14:textFill>
        </w:rPr>
        <w:t>⑴办公费支出</w:t>
      </w:r>
      <w:r>
        <w:rPr>
          <w:rFonts w:ascii="Times New Roman" w:hAnsi="Times New Roman" w:eastAsia="仿宋_GB2312" w:cs="Times New Roman"/>
          <w:color w:val="000000" w:themeColor="text1"/>
          <w:sz w:val="28"/>
          <w:szCs w:val="28"/>
          <w14:textFill>
            <w14:solidFill>
              <w14:schemeClr w14:val="tx1"/>
            </w14:solidFill>
          </w14:textFill>
        </w:rPr>
        <w:t>26,849.46</w:t>
      </w:r>
      <w:r>
        <w:rPr>
          <w:rFonts w:hint="eastAsia" w:ascii="Times New Roman" w:hAnsi="Times New Roman" w:eastAsia="仿宋_GB2312"/>
          <w:color w:val="000000" w:themeColor="text1"/>
          <w:sz w:val="28"/>
          <w:szCs w:val="28"/>
          <w14:textFill>
            <w14:solidFill>
              <w14:schemeClr w14:val="tx1"/>
            </w14:solidFill>
          </w14:textFill>
        </w:rPr>
        <w:t>元；</w:t>
      </w:r>
    </w:p>
    <w:p>
      <w:pPr>
        <w:spacing w:line="630" w:lineRule="exact"/>
        <w:ind w:firstLine="560" w:firstLineChars="200"/>
        <w:rPr>
          <w:rFonts w:ascii="Times New Roman" w:hAnsi="Times New Roman" w:eastAsia="仿宋_GB2312"/>
          <w:color w:val="000000" w:themeColor="text1"/>
          <w:sz w:val="28"/>
          <w:szCs w:val="28"/>
          <w14:textFill>
            <w14:solidFill>
              <w14:schemeClr w14:val="tx1"/>
            </w14:solidFill>
          </w14:textFill>
        </w:rPr>
      </w:pPr>
      <w:r>
        <w:rPr>
          <w:rFonts w:hint="eastAsia" w:ascii="Times New Roman" w:hAnsi="Times New Roman" w:eastAsia="仿宋_GB2312"/>
          <w:color w:val="000000" w:themeColor="text1"/>
          <w:sz w:val="28"/>
          <w:szCs w:val="28"/>
          <w14:textFill>
            <w14:solidFill>
              <w14:schemeClr w14:val="tx1"/>
            </w14:solidFill>
          </w14:textFill>
        </w:rPr>
        <w:t>⑵水电费支出</w:t>
      </w:r>
      <w:r>
        <w:rPr>
          <w:rFonts w:ascii="Times New Roman" w:hAnsi="Times New Roman" w:eastAsia="仿宋_GB2312" w:cs="Times New Roman"/>
          <w:color w:val="000000" w:themeColor="text1"/>
          <w:sz w:val="28"/>
          <w:szCs w:val="28"/>
          <w14:textFill>
            <w14:solidFill>
              <w14:schemeClr w14:val="tx1"/>
            </w14:solidFill>
          </w14:textFill>
        </w:rPr>
        <w:t>12,000.00</w:t>
      </w:r>
      <w:r>
        <w:rPr>
          <w:rFonts w:hint="eastAsia" w:ascii="Times New Roman" w:hAnsi="Times New Roman" w:eastAsia="仿宋_GB2312"/>
          <w:color w:val="000000" w:themeColor="text1"/>
          <w:sz w:val="28"/>
          <w:szCs w:val="28"/>
          <w14:textFill>
            <w14:solidFill>
              <w14:schemeClr w14:val="tx1"/>
            </w14:solidFill>
          </w14:textFill>
        </w:rPr>
        <w:t>元；</w:t>
      </w:r>
    </w:p>
    <w:p>
      <w:pPr>
        <w:spacing w:line="630" w:lineRule="exact"/>
        <w:ind w:firstLine="560" w:firstLineChars="200"/>
        <w:rPr>
          <w:rFonts w:ascii="Times New Roman" w:hAnsi="Times New Roman" w:eastAsia="仿宋_GB2312"/>
          <w:color w:val="000000" w:themeColor="text1"/>
          <w:sz w:val="28"/>
          <w:szCs w:val="28"/>
          <w14:textFill>
            <w14:solidFill>
              <w14:schemeClr w14:val="tx1"/>
            </w14:solidFill>
          </w14:textFill>
        </w:rPr>
      </w:pPr>
      <w:r>
        <w:rPr>
          <w:rFonts w:hint="eastAsia" w:ascii="Times New Roman" w:hAnsi="Times New Roman" w:eastAsia="仿宋_GB2312"/>
          <w:color w:val="000000" w:themeColor="text1"/>
          <w:sz w:val="28"/>
          <w:szCs w:val="28"/>
          <w14:textFill>
            <w14:solidFill>
              <w14:schemeClr w14:val="tx1"/>
            </w14:solidFill>
          </w14:textFill>
        </w:rPr>
        <w:t>⑶电话费支出</w:t>
      </w:r>
      <w:r>
        <w:rPr>
          <w:rFonts w:ascii="Times New Roman" w:hAnsi="Times New Roman" w:eastAsia="仿宋_GB2312" w:cs="Times New Roman"/>
          <w:color w:val="000000" w:themeColor="text1"/>
          <w:sz w:val="28"/>
          <w:szCs w:val="28"/>
          <w14:textFill>
            <w14:solidFill>
              <w14:schemeClr w14:val="tx1"/>
            </w14:solidFill>
          </w14:textFill>
        </w:rPr>
        <w:t>1,102.81</w:t>
      </w:r>
      <w:r>
        <w:rPr>
          <w:rFonts w:hint="eastAsia" w:ascii="Times New Roman" w:hAnsi="Times New Roman" w:eastAsia="仿宋_GB2312"/>
          <w:color w:val="000000" w:themeColor="text1"/>
          <w:sz w:val="28"/>
          <w:szCs w:val="28"/>
          <w14:textFill>
            <w14:solidFill>
              <w14:schemeClr w14:val="tx1"/>
            </w14:solidFill>
          </w14:textFill>
        </w:rPr>
        <w:t>元；</w:t>
      </w:r>
    </w:p>
    <w:p>
      <w:pPr>
        <w:spacing w:line="630" w:lineRule="exact"/>
        <w:ind w:firstLine="560" w:firstLineChars="200"/>
        <w:rPr>
          <w:rFonts w:ascii="Times New Roman" w:hAnsi="Times New Roman" w:eastAsia="仿宋_GB2312"/>
          <w:color w:val="000000" w:themeColor="text1"/>
          <w:sz w:val="28"/>
          <w:szCs w:val="28"/>
          <w14:textFill>
            <w14:solidFill>
              <w14:schemeClr w14:val="tx1"/>
            </w14:solidFill>
          </w14:textFill>
        </w:rPr>
      </w:pPr>
      <w:r>
        <w:rPr>
          <w:rFonts w:hint="eastAsia" w:ascii="Times New Roman" w:hAnsi="Times New Roman" w:eastAsia="仿宋_GB2312"/>
          <w:color w:val="000000" w:themeColor="text1"/>
          <w:sz w:val="28"/>
          <w:szCs w:val="28"/>
          <w14:textFill>
            <w14:solidFill>
              <w14:schemeClr w14:val="tx1"/>
            </w14:solidFill>
          </w14:textFill>
        </w:rPr>
        <w:t>⑷银行手续费支出</w:t>
      </w:r>
      <w:r>
        <w:rPr>
          <w:rFonts w:ascii="Times New Roman" w:hAnsi="Times New Roman" w:eastAsia="仿宋_GB2312" w:cs="Times New Roman"/>
          <w:color w:val="000000" w:themeColor="text1"/>
          <w:sz w:val="28"/>
          <w:szCs w:val="28"/>
          <w14:textFill>
            <w14:solidFill>
              <w14:schemeClr w14:val="tx1"/>
            </w14:solidFill>
          </w14:textFill>
        </w:rPr>
        <w:t>365.00</w:t>
      </w:r>
      <w:r>
        <w:rPr>
          <w:rFonts w:hint="eastAsia" w:ascii="Times New Roman" w:hAnsi="Times New Roman" w:eastAsia="仿宋_GB2312"/>
          <w:color w:val="000000" w:themeColor="text1"/>
          <w:sz w:val="28"/>
          <w:szCs w:val="28"/>
          <w14:textFill>
            <w14:solidFill>
              <w14:schemeClr w14:val="tx1"/>
            </w14:solidFill>
          </w14:textFill>
        </w:rPr>
        <w:t>元。</w:t>
      </w:r>
      <w:r>
        <w:rPr>
          <w:rFonts w:ascii="Times New Roman" w:hAnsi="Times New Roman" w:eastAsia="仿宋_GB2312"/>
          <w:color w:val="000000" w:themeColor="text1"/>
          <w:sz w:val="28"/>
          <w:szCs w:val="28"/>
          <w14:textFill>
            <w14:solidFill>
              <w14:schemeClr w14:val="tx1"/>
            </w14:solidFill>
          </w14:textFill>
        </w:rPr>
        <w:t xml:space="preserve"> </w:t>
      </w:r>
    </w:p>
    <w:p>
      <w:pPr>
        <w:spacing w:line="630" w:lineRule="exact"/>
        <w:ind w:right="-6" w:rightChars="-3" w:firstLine="528" w:firstLineChars="200"/>
        <w:rPr>
          <w:rFonts w:ascii="Times New Roman" w:hAnsi="Times New Roman" w:eastAsia="仿宋_GB2312" w:cs="Times New Roman"/>
          <w:sz w:val="28"/>
          <w:szCs w:val="28"/>
        </w:rPr>
      </w:pPr>
      <w:r>
        <w:rPr>
          <w:rFonts w:hint="eastAsia" w:ascii="Times New Roman" w:hAnsi="Times New Roman" w:eastAsia="仿宋_GB2312"/>
          <w:color w:val="000000" w:themeColor="text1"/>
          <w:spacing w:val="-8"/>
          <w:sz w:val="28"/>
          <w:szCs w:val="28"/>
          <w14:textFill>
            <w14:solidFill>
              <w14:schemeClr w14:val="tx1"/>
            </w14:solidFill>
          </w14:textFill>
        </w:rPr>
        <w:t>３、</w:t>
      </w:r>
      <w:r>
        <w:rPr>
          <w:rFonts w:hint="eastAsia" w:ascii="Times New Roman" w:hAnsi="Times New Roman" w:eastAsia="仿宋_GB2312"/>
          <w:color w:val="000000" w:themeColor="text1"/>
          <w:sz w:val="28"/>
          <w:szCs w:val="28"/>
          <w14:textFill>
            <w14:solidFill>
              <w14:schemeClr w14:val="tx1"/>
            </w14:solidFill>
          </w14:textFill>
        </w:rPr>
        <w:t>用于机构年度相关税费支出</w:t>
      </w:r>
      <w:r>
        <w:rPr>
          <w:rFonts w:ascii="Times New Roman" w:hAnsi="Times New Roman" w:eastAsia="仿宋_GB2312"/>
          <w:color w:val="000000" w:themeColor="text1"/>
          <w:sz w:val="28"/>
          <w:szCs w:val="28"/>
          <w14:textFill>
            <w14:solidFill>
              <w14:schemeClr w14:val="tx1"/>
            </w14:solidFill>
          </w14:textFill>
        </w:rPr>
        <w:t>132,395.96</w:t>
      </w:r>
      <w:r>
        <w:rPr>
          <w:rFonts w:hint="eastAsia" w:ascii="Times New Roman" w:hAnsi="Times New Roman" w:eastAsia="仿宋_GB2312"/>
          <w:color w:val="000000" w:themeColor="text1"/>
          <w:sz w:val="28"/>
          <w:szCs w:val="28"/>
          <w14:textFill>
            <w14:solidFill>
              <w14:schemeClr w14:val="tx1"/>
            </w14:solidFill>
          </w14:textFill>
        </w:rPr>
        <w:t>元，</w:t>
      </w:r>
      <w:r>
        <w:rPr>
          <w:rFonts w:hint="eastAsia" w:ascii="Times New Roman" w:hAnsi="Times New Roman" w:eastAsia="仿宋_GB2312" w:cs="Times New Roman"/>
          <w:sz w:val="28"/>
          <w:szCs w:val="28"/>
        </w:rPr>
        <w:t>占服务总经费的</w:t>
      </w:r>
      <w:r>
        <w:rPr>
          <w:rFonts w:ascii="Times New Roman" w:hAnsi="Times New Roman" w:eastAsia="仿宋_GB2312" w:cs="Times New Roman"/>
          <w:sz w:val="28"/>
          <w:szCs w:val="28"/>
        </w:rPr>
        <w:t>5.70%</w:t>
      </w:r>
      <w:r>
        <w:rPr>
          <w:rFonts w:hint="eastAsia" w:ascii="Times New Roman" w:hAnsi="Times New Roman" w:eastAsia="仿宋_GB2312" w:cs="Times New Roman"/>
          <w:sz w:val="28"/>
          <w:szCs w:val="28"/>
        </w:rPr>
        <w:t>。</w:t>
      </w:r>
    </w:p>
    <w:p>
      <w:pPr>
        <w:spacing w:line="630" w:lineRule="exact"/>
        <w:ind w:right="-6" w:rightChars="-3"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㈢用于</w:t>
      </w:r>
      <w:r>
        <w:rPr>
          <w:rFonts w:hint="eastAsia" w:ascii="Times New Roman" w:hAnsi="Times New Roman" w:eastAsia="仿宋_GB2312" w:cs="Times New Roman"/>
          <w:sz w:val="28"/>
          <w:szCs w:val="28"/>
        </w:rPr>
        <w:t>石碁社工站</w:t>
      </w:r>
      <w:r>
        <w:rPr>
          <w:rFonts w:ascii="Times New Roman" w:hAnsi="Times New Roman" w:eastAsia="仿宋_GB2312" w:cs="Times New Roman"/>
          <w:sz w:val="28"/>
          <w:szCs w:val="28"/>
        </w:rPr>
        <w:t>运营管理费用支出166,695.61元，占服务总经费的7.18%，预算执行率101.32%。其中：</w:t>
      </w:r>
    </w:p>
    <w:p>
      <w:pPr>
        <w:spacing w:line="63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１、中标费用</w:t>
      </w:r>
      <w:r>
        <w:rPr>
          <w:rFonts w:ascii="Times New Roman" w:hAnsi="Times New Roman" w:eastAsia="仿宋" w:cs="Times New Roman"/>
          <w:sz w:val="28"/>
          <w:szCs w:val="28"/>
        </w:rPr>
        <w:t>17,893.08</w:t>
      </w:r>
      <w:r>
        <w:rPr>
          <w:rFonts w:hint="eastAsia" w:ascii="Times New Roman" w:hAnsi="Times New Roman" w:eastAsia="仿宋" w:cs="Times New Roman"/>
          <w:sz w:val="28"/>
          <w:szCs w:val="28"/>
        </w:rPr>
        <w:t>元；</w:t>
      </w:r>
    </w:p>
    <w:p>
      <w:pPr>
        <w:spacing w:line="63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２、分摊机构人员工资</w:t>
      </w:r>
      <w:r>
        <w:rPr>
          <w:rFonts w:ascii="Times New Roman" w:hAnsi="Times New Roman" w:eastAsia="仿宋" w:cs="Times New Roman"/>
          <w:sz w:val="28"/>
          <w:szCs w:val="28"/>
        </w:rPr>
        <w:t>94,255.94</w:t>
      </w:r>
      <w:r>
        <w:rPr>
          <w:rFonts w:hint="eastAsia" w:ascii="Times New Roman" w:hAnsi="Times New Roman" w:eastAsia="仿宋" w:cs="Times New Roman"/>
          <w:sz w:val="28"/>
          <w:szCs w:val="28"/>
        </w:rPr>
        <w:t>元；</w:t>
      </w:r>
      <w:r>
        <w:rPr>
          <w:rFonts w:ascii="Times New Roman" w:hAnsi="Times New Roman" w:eastAsia="仿宋" w:cs="Times New Roman"/>
          <w:sz w:val="28"/>
          <w:szCs w:val="28"/>
        </w:rPr>
        <w:t xml:space="preserve"> </w:t>
      </w:r>
    </w:p>
    <w:p>
      <w:pPr>
        <w:spacing w:line="63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３、分摊机构人员社保</w:t>
      </w:r>
      <w:r>
        <w:rPr>
          <w:rFonts w:ascii="Times New Roman" w:hAnsi="Times New Roman" w:eastAsia="仿宋" w:cs="Times New Roman"/>
          <w:sz w:val="28"/>
          <w:szCs w:val="28"/>
        </w:rPr>
        <w:t>12,511.75</w:t>
      </w:r>
      <w:r>
        <w:rPr>
          <w:rFonts w:hint="eastAsia" w:ascii="Times New Roman" w:hAnsi="Times New Roman" w:eastAsia="仿宋" w:cs="Times New Roman"/>
          <w:sz w:val="28"/>
          <w:szCs w:val="28"/>
        </w:rPr>
        <w:t>元</w:t>
      </w:r>
    </w:p>
    <w:p>
      <w:pPr>
        <w:spacing w:line="63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４、分摊机构人员公积金</w:t>
      </w:r>
      <w:r>
        <w:rPr>
          <w:rFonts w:ascii="Times New Roman" w:hAnsi="Times New Roman" w:eastAsia="仿宋" w:cs="Times New Roman"/>
          <w:sz w:val="28"/>
          <w:szCs w:val="28"/>
        </w:rPr>
        <w:t>1,050.81</w:t>
      </w:r>
      <w:r>
        <w:rPr>
          <w:rFonts w:hint="eastAsia" w:ascii="Times New Roman" w:hAnsi="Times New Roman" w:eastAsia="仿宋" w:cs="Times New Roman"/>
          <w:sz w:val="28"/>
          <w:szCs w:val="28"/>
        </w:rPr>
        <w:t>元；</w:t>
      </w:r>
    </w:p>
    <w:p>
      <w:pPr>
        <w:spacing w:line="63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５、机构费用分摊</w:t>
      </w:r>
      <w:r>
        <w:rPr>
          <w:rFonts w:ascii="Times New Roman" w:hAnsi="Times New Roman" w:eastAsia="仿宋" w:cs="Times New Roman"/>
          <w:sz w:val="28"/>
          <w:szCs w:val="28"/>
        </w:rPr>
        <w:t>37,765.70</w:t>
      </w:r>
      <w:r>
        <w:rPr>
          <w:rFonts w:hint="eastAsia" w:ascii="Times New Roman" w:hAnsi="Times New Roman" w:eastAsia="仿宋" w:cs="Times New Roman"/>
          <w:sz w:val="28"/>
          <w:szCs w:val="28"/>
        </w:rPr>
        <w:t>元。</w:t>
      </w:r>
    </w:p>
    <w:p>
      <w:pPr>
        <w:spacing w:line="63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６、社工交流费用支出</w:t>
      </w:r>
      <w:r>
        <w:rPr>
          <w:rFonts w:ascii="Times New Roman" w:hAnsi="Times New Roman" w:eastAsia="仿宋" w:cs="Times New Roman"/>
          <w:sz w:val="28"/>
          <w:szCs w:val="28"/>
        </w:rPr>
        <w:t>3,218.33</w:t>
      </w:r>
      <w:r>
        <w:rPr>
          <w:rFonts w:hint="eastAsia" w:ascii="Times New Roman" w:hAnsi="Times New Roman" w:eastAsia="仿宋" w:cs="Times New Roman"/>
          <w:sz w:val="28"/>
          <w:szCs w:val="28"/>
        </w:rPr>
        <w:t>元。</w:t>
      </w:r>
    </w:p>
    <w:p>
      <w:pPr>
        <w:spacing w:line="630" w:lineRule="exact"/>
        <w:ind w:right="-569" w:rightChars="-271"/>
        <w:outlineLvl w:val="0"/>
        <w:rPr>
          <w:rFonts w:ascii="Times New Roman" w:hAnsi="Times New Roman" w:eastAsia="仿宋_GB2312" w:cs="Times New Roman"/>
          <w:b/>
          <w:sz w:val="28"/>
          <w:szCs w:val="28"/>
        </w:rPr>
      </w:pPr>
      <w:r>
        <w:rPr>
          <w:rFonts w:ascii="Times New Roman" w:hAnsi="Times New Roman" w:eastAsia="仿宋_GB2312" w:cs="Times New Roman"/>
          <w:b/>
          <w:sz w:val="28"/>
          <w:szCs w:val="28"/>
        </w:rPr>
        <w:t>八、累计结余情况（</w:t>
      </w:r>
      <w:r>
        <w:rPr>
          <w:rFonts w:hint="eastAsia" w:ascii="Times New Roman" w:hAnsi="Times New Roman" w:eastAsia="仿宋_GB2312" w:cs="Times New Roman"/>
          <w:b/>
          <w:color w:val="000000" w:themeColor="text1"/>
          <w:sz w:val="28"/>
          <w:szCs w:val="28"/>
          <w14:textFill>
            <w14:solidFill>
              <w14:schemeClr w14:val="tx1"/>
            </w14:solidFill>
          </w14:textFill>
        </w:rPr>
        <w:t>2024年8月24日至2025年8月23日</w:t>
      </w:r>
      <w:r>
        <w:rPr>
          <w:rFonts w:ascii="Times New Roman" w:hAnsi="Times New Roman" w:eastAsia="仿宋_GB2312" w:cs="Times New Roman"/>
          <w:b/>
          <w:sz w:val="28"/>
          <w:szCs w:val="28"/>
        </w:rPr>
        <w:t>）</w:t>
      </w:r>
    </w:p>
    <w:p>
      <w:pPr>
        <w:spacing w:line="63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根据“</w:t>
      </w:r>
      <w:r>
        <w:rPr>
          <w:rFonts w:hint="eastAsia" w:ascii="Times New Roman" w:hAnsi="Times New Roman" w:eastAsia="仿宋_GB2312" w:cs="Times New Roman"/>
          <w:sz w:val="28"/>
          <w:szCs w:val="28"/>
        </w:rPr>
        <w:t>业会专审[2025]048号</w:t>
      </w:r>
      <w:r>
        <w:rPr>
          <w:rFonts w:ascii="Times New Roman" w:hAnsi="Times New Roman" w:eastAsia="仿宋_GB2312" w:cs="Times New Roman"/>
          <w:sz w:val="28"/>
          <w:szCs w:val="28"/>
        </w:rPr>
        <w:t>”财务管理情况评估报告及本次</w:t>
      </w:r>
      <w:r>
        <w:rPr>
          <w:rFonts w:hint="eastAsia" w:ascii="Times New Roman" w:hAnsi="Times New Roman" w:eastAsia="仿宋_GB2312" w:cs="Times New Roman"/>
          <w:sz w:val="28"/>
          <w:szCs w:val="28"/>
        </w:rPr>
        <w:t>2025年2月24日至202</w:t>
      </w:r>
      <w:r>
        <w:rPr>
          <w:rFonts w:hint="eastAsia" w:ascii="Times New Roman" w:hAnsi="Times New Roman" w:eastAsia="仿宋_GB2312" w:cs="Times New Roman"/>
          <w:sz w:val="28"/>
          <w:szCs w:val="28"/>
          <w:lang w:val="en-US" w:eastAsia="zh-CN"/>
        </w:rPr>
        <w:t>5</w:t>
      </w:r>
      <w:r>
        <w:rPr>
          <w:rFonts w:hint="eastAsia" w:ascii="Times New Roman" w:hAnsi="Times New Roman" w:eastAsia="仿宋_GB2312" w:cs="Times New Roman"/>
          <w:sz w:val="28"/>
          <w:szCs w:val="28"/>
        </w:rPr>
        <w:t>年8月23日</w:t>
      </w:r>
      <w:r>
        <w:rPr>
          <w:rFonts w:ascii="Times New Roman" w:hAnsi="Times New Roman" w:eastAsia="仿宋_GB2312" w:cs="Times New Roman"/>
          <w:sz w:val="28"/>
          <w:szCs w:val="28"/>
        </w:rPr>
        <w:t>财务管理评估情况，</w:t>
      </w:r>
      <w:r>
        <w:rPr>
          <w:rFonts w:hint="eastAsia" w:ascii="Times New Roman" w:hAnsi="Times New Roman" w:eastAsia="仿宋_GB2312" w:cs="Times New Roman"/>
          <w:color w:val="000000" w:themeColor="text1"/>
          <w:sz w:val="28"/>
          <w:szCs w:val="28"/>
          <w14:textFill>
            <w14:solidFill>
              <w14:schemeClr w14:val="tx1"/>
            </w14:solidFill>
          </w14:textFill>
        </w:rPr>
        <w:t>自2024年8月24日至2025年8月23日</w:t>
      </w:r>
      <w:r>
        <w:rPr>
          <w:rFonts w:ascii="Times New Roman" w:hAnsi="Times New Roman" w:eastAsia="仿宋_GB2312" w:cs="Times New Roman"/>
          <w:sz w:val="28"/>
          <w:szCs w:val="28"/>
        </w:rPr>
        <w:t>，</w:t>
      </w:r>
      <w:r>
        <w:rPr>
          <w:rFonts w:hint="eastAsia" w:ascii="Times New Roman" w:hAnsi="Times New Roman" w:eastAsia="仿宋_GB2312" w:cs="Times New Roman"/>
          <w:sz w:val="28"/>
          <w:szCs w:val="28"/>
        </w:rPr>
        <w:t>石碁社工站</w:t>
      </w:r>
      <w:r>
        <w:rPr>
          <w:rFonts w:ascii="Times New Roman" w:hAnsi="Times New Roman" w:eastAsia="仿宋_GB2312" w:cs="Times New Roman"/>
          <w:sz w:val="28"/>
          <w:szCs w:val="28"/>
        </w:rPr>
        <w:t>服务经费累计结余-155,932.77元。具体每期结余情况如下：</w:t>
      </w:r>
    </w:p>
    <w:p>
      <w:pPr>
        <w:spacing w:line="630" w:lineRule="exact"/>
        <w:ind w:firstLine="560" w:firstLineChars="200"/>
        <w:rPr>
          <w:rFonts w:ascii="Times New Roman" w:hAnsi="Times New Roman" w:eastAsia="仿宋_GB2312" w:cs="Times New Roman"/>
          <w:sz w:val="28"/>
          <w:szCs w:val="28"/>
        </w:rPr>
      </w:pPr>
      <w:bookmarkStart w:id="10" w:name="OLE_LINK15"/>
      <w:r>
        <w:rPr>
          <w:rFonts w:ascii="Times New Roman" w:hAnsi="Times New Roman" w:eastAsia="仿宋_GB2312" w:cs="Times New Roman"/>
          <w:sz w:val="28"/>
          <w:szCs w:val="28"/>
        </w:rPr>
        <w:t>202</w:t>
      </w:r>
      <w:r>
        <w:rPr>
          <w:rFonts w:hint="eastAsia" w:ascii="Times New Roman" w:hAnsi="Times New Roman" w:eastAsia="仿宋_GB2312" w:cs="Times New Roman"/>
          <w:sz w:val="28"/>
          <w:szCs w:val="28"/>
        </w:rPr>
        <w:t>4</w:t>
      </w:r>
      <w:r>
        <w:rPr>
          <w:rFonts w:ascii="Times New Roman" w:hAnsi="Times New Roman" w:eastAsia="仿宋_GB2312" w:cs="Times New Roman"/>
          <w:sz w:val="28"/>
          <w:szCs w:val="28"/>
        </w:rPr>
        <w:t>年</w:t>
      </w:r>
      <w:r>
        <w:rPr>
          <w:rFonts w:hint="eastAsia" w:ascii="Times New Roman" w:hAnsi="Times New Roman" w:eastAsia="仿宋_GB2312" w:cs="Times New Roman"/>
          <w:sz w:val="28"/>
          <w:szCs w:val="28"/>
        </w:rPr>
        <w:t>8</w:t>
      </w:r>
      <w:r>
        <w:rPr>
          <w:rFonts w:ascii="Times New Roman" w:hAnsi="Times New Roman" w:eastAsia="仿宋_GB2312" w:cs="Times New Roman"/>
          <w:sz w:val="28"/>
          <w:szCs w:val="28"/>
        </w:rPr>
        <w:t>月</w:t>
      </w:r>
      <w:r>
        <w:rPr>
          <w:rFonts w:hint="eastAsia" w:ascii="Times New Roman" w:hAnsi="Times New Roman" w:eastAsia="仿宋_GB2312" w:cs="Times New Roman"/>
          <w:sz w:val="28"/>
          <w:szCs w:val="28"/>
        </w:rPr>
        <w:t>24</w:t>
      </w:r>
      <w:r>
        <w:rPr>
          <w:rFonts w:ascii="Times New Roman" w:hAnsi="Times New Roman" w:eastAsia="仿宋_GB2312" w:cs="Times New Roman"/>
          <w:sz w:val="28"/>
          <w:szCs w:val="28"/>
        </w:rPr>
        <w:t>日</w:t>
      </w:r>
      <w:bookmarkEnd w:id="10"/>
      <w:r>
        <w:rPr>
          <w:rFonts w:ascii="Times New Roman" w:hAnsi="Times New Roman" w:eastAsia="仿宋_GB2312" w:cs="Times New Roman"/>
          <w:sz w:val="28"/>
          <w:szCs w:val="28"/>
        </w:rPr>
        <w:t>至202</w:t>
      </w:r>
      <w:r>
        <w:rPr>
          <w:rFonts w:hint="eastAsia" w:ascii="Times New Roman" w:hAnsi="Times New Roman" w:eastAsia="仿宋_GB2312" w:cs="Times New Roman"/>
          <w:sz w:val="28"/>
          <w:szCs w:val="28"/>
        </w:rPr>
        <w:t>7</w:t>
      </w:r>
      <w:r>
        <w:rPr>
          <w:rFonts w:ascii="Times New Roman" w:hAnsi="Times New Roman" w:eastAsia="仿宋_GB2312" w:cs="Times New Roman"/>
          <w:sz w:val="28"/>
          <w:szCs w:val="28"/>
        </w:rPr>
        <w:t>年8月</w:t>
      </w:r>
      <w:r>
        <w:rPr>
          <w:rFonts w:hint="eastAsia" w:ascii="Times New Roman" w:hAnsi="Times New Roman" w:eastAsia="仿宋_GB2312" w:cs="Times New Roman"/>
          <w:sz w:val="28"/>
          <w:szCs w:val="28"/>
        </w:rPr>
        <w:t>23</w:t>
      </w:r>
      <w:r>
        <w:rPr>
          <w:rFonts w:ascii="Times New Roman" w:hAnsi="Times New Roman" w:eastAsia="仿宋_GB2312" w:cs="Times New Roman"/>
          <w:sz w:val="28"/>
          <w:szCs w:val="28"/>
        </w:rPr>
        <w:t>日为</w:t>
      </w:r>
      <w:r>
        <w:rPr>
          <w:rFonts w:hint="eastAsia" w:ascii="Times New Roman" w:hAnsi="Times New Roman" w:eastAsia="仿宋_GB2312" w:cs="Times New Roman"/>
          <w:sz w:val="28"/>
          <w:szCs w:val="28"/>
        </w:rPr>
        <w:t>石碁社工站</w:t>
      </w:r>
      <w:r>
        <w:rPr>
          <w:rFonts w:ascii="Times New Roman" w:hAnsi="Times New Roman" w:eastAsia="仿宋_GB2312" w:cs="Times New Roman"/>
          <w:sz w:val="28"/>
          <w:szCs w:val="28"/>
        </w:rPr>
        <w:t>的</w:t>
      </w:r>
      <w:r>
        <w:rPr>
          <w:rFonts w:hint="eastAsia" w:ascii="Times New Roman" w:hAnsi="Times New Roman" w:eastAsia="仿宋_GB2312" w:cs="Times New Roman"/>
          <w:sz w:val="28"/>
          <w:szCs w:val="28"/>
        </w:rPr>
        <w:t>三</w:t>
      </w:r>
      <w:r>
        <w:rPr>
          <w:rFonts w:ascii="Times New Roman" w:hAnsi="Times New Roman" w:eastAsia="仿宋_GB2312" w:cs="Times New Roman"/>
          <w:sz w:val="28"/>
          <w:szCs w:val="28"/>
        </w:rPr>
        <w:t>年服务周期，具体每期结余情况如下：</w:t>
      </w:r>
    </w:p>
    <w:p>
      <w:pPr>
        <w:spacing w:line="630" w:lineRule="exact"/>
        <w:ind w:firstLine="528" w:firstLineChars="200"/>
        <w:rPr>
          <w:rFonts w:ascii="Times New Roman" w:hAnsi="Times New Roman" w:eastAsia="仿宋_GB2312"/>
          <w:color w:val="000000" w:themeColor="text1"/>
          <w:spacing w:val="-8"/>
          <w:sz w:val="28"/>
          <w:szCs w:val="28"/>
          <w14:textFill>
            <w14:solidFill>
              <w14:schemeClr w14:val="tx1"/>
            </w14:solidFill>
          </w14:textFill>
        </w:rPr>
      </w:pPr>
      <w:r>
        <w:rPr>
          <w:rFonts w:hint="eastAsia" w:ascii="Times New Roman" w:hAnsi="Times New Roman" w:eastAsia="仿宋_GB2312"/>
          <w:color w:val="000000" w:themeColor="text1"/>
          <w:spacing w:val="-8"/>
          <w:sz w:val="28"/>
          <w:szCs w:val="28"/>
          <w14:textFill>
            <w14:solidFill>
              <w14:schemeClr w14:val="tx1"/>
            </w14:solidFill>
          </w14:textFill>
        </w:rPr>
        <w:t>第一年协议期</w:t>
      </w:r>
      <w:r>
        <w:rPr>
          <w:rFonts w:hint="eastAsia" w:ascii="Times New Roman" w:hAnsi="Times New Roman" w:eastAsia="仿宋_GB2312" w:cs="Times New Roman"/>
          <w:sz w:val="28"/>
          <w:szCs w:val="28"/>
        </w:rPr>
        <w:t>2024年8月24日至2025年8月23日</w:t>
      </w:r>
      <w:r>
        <w:rPr>
          <w:rFonts w:hint="eastAsia" w:ascii="Times New Roman" w:hAnsi="Times New Roman" w:eastAsia="仿宋_GB2312"/>
          <w:color w:val="000000" w:themeColor="text1"/>
          <w:spacing w:val="-8"/>
          <w:sz w:val="28"/>
          <w:szCs w:val="28"/>
          <w14:textFill>
            <w14:solidFill>
              <w14:schemeClr w14:val="tx1"/>
            </w14:solidFill>
          </w14:textFill>
        </w:rPr>
        <w:t>，结余资金</w:t>
      </w:r>
      <w:r>
        <w:rPr>
          <w:rFonts w:ascii="Times New Roman" w:hAnsi="Times New Roman" w:eastAsia="仿宋_GB2312" w:cs="Times New Roman"/>
          <w:sz w:val="28"/>
          <w:szCs w:val="28"/>
        </w:rPr>
        <w:t>-155,932.77</w:t>
      </w:r>
      <w:r>
        <w:rPr>
          <w:rFonts w:hint="eastAsia" w:ascii="Times New Roman" w:hAnsi="Times New Roman" w:eastAsia="仿宋_GB2312"/>
          <w:color w:val="000000" w:themeColor="text1"/>
          <w:spacing w:val="-8"/>
          <w:sz w:val="28"/>
          <w:szCs w:val="28"/>
          <w14:textFill>
            <w14:solidFill>
              <w14:schemeClr w14:val="tx1"/>
            </w14:solidFill>
          </w14:textFill>
        </w:rPr>
        <w:t>元</w:t>
      </w:r>
      <w:r>
        <w:rPr>
          <w:rFonts w:ascii="Times New Roman" w:hAnsi="Times New Roman" w:eastAsia="仿宋_GB2312" w:cs="Times New Roman"/>
          <w:sz w:val="28"/>
          <w:szCs w:val="28"/>
        </w:rPr>
        <w:t>（不含未拨入的116,100.00元）</w:t>
      </w:r>
      <w:r>
        <w:rPr>
          <w:rFonts w:hint="eastAsia" w:ascii="Times New Roman" w:hAnsi="Times New Roman" w:eastAsia="仿宋_GB2312"/>
          <w:color w:val="000000" w:themeColor="text1"/>
          <w:spacing w:val="-8"/>
          <w:sz w:val="28"/>
          <w:szCs w:val="28"/>
          <w14:textFill>
            <w14:solidFill>
              <w14:schemeClr w14:val="tx1"/>
            </w14:solidFill>
          </w14:textFill>
        </w:rPr>
        <w:t>。</w:t>
      </w:r>
    </w:p>
    <w:p>
      <w:pPr>
        <w:spacing w:line="630" w:lineRule="exact"/>
        <w:ind w:right="-569" w:rightChars="-271"/>
        <w:outlineLvl w:val="0"/>
        <w:rPr>
          <w:rFonts w:ascii="Times New Roman" w:hAnsi="Times New Roman" w:eastAsia="仿宋_GB2312" w:cs="Times New Roman"/>
          <w:b/>
          <w:sz w:val="28"/>
          <w:szCs w:val="28"/>
        </w:rPr>
      </w:pPr>
      <w:r>
        <w:rPr>
          <w:rFonts w:ascii="Times New Roman" w:hAnsi="Times New Roman" w:eastAsia="仿宋_GB2312" w:cs="Times New Roman"/>
          <w:b/>
          <w:sz w:val="28"/>
          <w:szCs w:val="28"/>
        </w:rPr>
        <w:t>九、存在问题</w:t>
      </w:r>
      <w:r>
        <w:rPr>
          <w:rFonts w:hint="eastAsia" w:ascii="Times New Roman" w:hAnsi="Times New Roman" w:eastAsia="仿宋_GB2312" w:cs="Times New Roman"/>
          <w:b/>
          <w:sz w:val="28"/>
          <w:szCs w:val="28"/>
        </w:rPr>
        <w:t>及建议</w:t>
      </w:r>
    </w:p>
    <w:p>
      <w:pPr>
        <w:spacing w:line="630" w:lineRule="exact"/>
        <w:ind w:firstLine="560" w:firstLineChars="200"/>
        <w:rPr>
          <w:rFonts w:ascii="Times New Roman" w:hAnsi="Times New Roman" w:eastAsia="仿宋_GB2312"/>
          <w:color w:val="000000" w:themeColor="text1"/>
          <w:sz w:val="28"/>
          <w:szCs w:val="28"/>
          <w14:textFill>
            <w14:solidFill>
              <w14:schemeClr w14:val="tx1"/>
            </w14:solidFill>
          </w14:textFill>
        </w:rPr>
      </w:pPr>
      <w:bookmarkStart w:id="11" w:name="_Hlk136437461"/>
      <w:bookmarkStart w:id="12" w:name="_Hlk110792493"/>
      <w:r>
        <w:rPr>
          <w:rFonts w:hint="eastAsia" w:ascii="Times New Roman" w:hAnsi="Times New Roman" w:eastAsia="仿宋_GB2312"/>
          <w:color w:val="000000" w:themeColor="text1"/>
          <w:sz w:val="28"/>
          <w:szCs w:val="28"/>
          <w14:textFill>
            <w14:solidFill>
              <w14:schemeClr w14:val="tx1"/>
            </w14:solidFill>
          </w14:textFill>
        </w:rPr>
        <w:t>㈠本评估期存在问题及建议</w:t>
      </w:r>
    </w:p>
    <w:p>
      <w:pPr>
        <w:spacing w:line="630" w:lineRule="exact"/>
        <w:ind w:firstLine="560" w:firstLineChars="200"/>
        <w:rPr>
          <w:rFonts w:ascii="Times New Roman" w:hAnsi="Times New Roman" w:eastAsia="仿宋_GB2312"/>
          <w:color w:val="000000" w:themeColor="text1"/>
          <w:sz w:val="28"/>
          <w:szCs w:val="28"/>
          <w14:textFill>
            <w14:solidFill>
              <w14:schemeClr w14:val="tx1"/>
            </w14:solidFill>
          </w14:textFill>
        </w:rPr>
      </w:pPr>
      <w:r>
        <w:rPr>
          <w:rFonts w:hint="eastAsia" w:ascii="Times New Roman" w:hAnsi="Times New Roman" w:eastAsia="仿宋_GB2312"/>
          <w:color w:val="000000" w:themeColor="text1"/>
          <w:sz w:val="28"/>
          <w:szCs w:val="28"/>
          <w14:textFill>
            <w14:solidFill>
              <w14:schemeClr w14:val="tx1"/>
            </w14:solidFill>
          </w14:textFill>
        </w:rPr>
        <w:t>根据承接机构制定的《财务报销制度及报销流程》：“……</w:t>
      </w:r>
      <w:r>
        <w:rPr>
          <w:rFonts w:ascii="Times New Roman" w:hAnsi="Times New Roman" w:eastAsia="仿宋_GB2312" w:cs="Times New Roman"/>
          <w:sz w:val="28"/>
          <w:szCs w:val="28"/>
        </w:rPr>
        <w:t>300元以上至1000元（含1000元）由区域服务总监或机构行政总监审批</w:t>
      </w:r>
      <w:r>
        <w:rPr>
          <w:rFonts w:hint="eastAsia" w:ascii="Times New Roman" w:hAnsi="Times New Roman" w:eastAsia="仿宋_GB2312"/>
          <w:color w:val="000000" w:themeColor="text1"/>
          <w:sz w:val="28"/>
          <w:szCs w:val="28"/>
          <w14:textFill>
            <w14:solidFill>
              <w14:schemeClr w14:val="tx1"/>
            </w14:solidFill>
          </w14:textFill>
        </w:rPr>
        <w:t>……”</w:t>
      </w:r>
      <w:r>
        <w:rPr>
          <w:rFonts w:ascii="Times New Roman" w:hAnsi="Times New Roman" w:eastAsia="仿宋_GB2312" w:cs="Times New Roman"/>
          <w:sz w:val="28"/>
          <w:szCs w:val="28"/>
        </w:rPr>
        <w:t>，</w:t>
      </w:r>
      <w:r>
        <w:rPr>
          <w:rFonts w:hint="eastAsia" w:ascii="Times New Roman" w:hAnsi="Times New Roman" w:eastAsia="仿宋_GB2312"/>
          <w:color w:val="000000" w:themeColor="text1"/>
          <w:sz w:val="28"/>
          <w:szCs w:val="28"/>
          <w14:textFill>
            <w14:solidFill>
              <w14:schemeClr w14:val="tx1"/>
            </w14:solidFill>
          </w14:textFill>
        </w:rPr>
        <w:t>审核发现，承接机构部分支出未按上述制度执行，如：2025年3月132号凭证支付打印费</w:t>
      </w:r>
      <w:r>
        <w:rPr>
          <w:rFonts w:ascii="Times New Roman" w:hAnsi="Times New Roman" w:eastAsia="仿宋_GB2312"/>
          <w:color w:val="000000" w:themeColor="text1"/>
          <w:sz w:val="28"/>
          <w:szCs w:val="28"/>
          <w14:textFill>
            <w14:solidFill>
              <w14:schemeClr w14:val="tx1"/>
            </w14:solidFill>
          </w14:textFill>
        </w:rPr>
        <w:t>2,100.00</w:t>
      </w:r>
      <w:r>
        <w:rPr>
          <w:rFonts w:hint="eastAsia" w:ascii="Times New Roman" w:hAnsi="Times New Roman" w:eastAsia="仿宋_GB2312"/>
          <w:color w:val="000000" w:themeColor="text1"/>
          <w:sz w:val="28"/>
          <w:szCs w:val="28"/>
          <w14:textFill>
            <w14:solidFill>
              <w14:schemeClr w14:val="tx1"/>
            </w14:solidFill>
          </w14:textFill>
        </w:rPr>
        <w:t>元、5月115号凭证支付a4纸费用</w:t>
      </w:r>
      <w:r>
        <w:rPr>
          <w:rFonts w:ascii="Times New Roman" w:hAnsi="Times New Roman" w:eastAsia="仿宋_GB2312"/>
          <w:color w:val="000000" w:themeColor="text1"/>
          <w:sz w:val="28"/>
          <w:szCs w:val="28"/>
          <w14:textFill>
            <w14:solidFill>
              <w14:schemeClr w14:val="tx1"/>
            </w14:solidFill>
          </w14:textFill>
        </w:rPr>
        <w:t>517.65</w:t>
      </w:r>
      <w:r>
        <w:rPr>
          <w:rFonts w:hint="eastAsia" w:ascii="Times New Roman" w:hAnsi="Times New Roman" w:eastAsia="仿宋_GB2312"/>
          <w:color w:val="000000" w:themeColor="text1"/>
          <w:sz w:val="28"/>
          <w:szCs w:val="28"/>
          <w14:textFill>
            <w14:solidFill>
              <w14:schemeClr w14:val="tx1"/>
            </w14:solidFill>
          </w14:textFill>
        </w:rPr>
        <w:t>元、 2</w:t>
      </w:r>
      <w:r>
        <w:rPr>
          <w:rFonts w:ascii="Times New Roman" w:hAnsi="Times New Roman" w:eastAsia="仿宋_GB2312"/>
          <w:color w:val="000000" w:themeColor="text1"/>
          <w:sz w:val="28"/>
          <w:szCs w:val="28"/>
          <w14:textFill>
            <w14:solidFill>
              <w14:schemeClr w14:val="tx1"/>
            </w14:solidFill>
          </w14:textFill>
        </w:rPr>
        <w:t>02</w:t>
      </w:r>
      <w:r>
        <w:rPr>
          <w:rFonts w:hint="eastAsia" w:ascii="Times New Roman" w:hAnsi="Times New Roman" w:eastAsia="仿宋_GB2312"/>
          <w:color w:val="000000" w:themeColor="text1"/>
          <w:sz w:val="28"/>
          <w:szCs w:val="28"/>
          <w14:textFill>
            <w14:solidFill>
              <w14:schemeClr w14:val="tx1"/>
            </w14:solidFill>
          </w14:textFill>
        </w:rPr>
        <w:t>5年3月129号及130号凭证支付团建费共</w:t>
      </w:r>
      <w:r>
        <w:rPr>
          <w:rFonts w:ascii="Times New Roman" w:hAnsi="Times New Roman" w:eastAsia="仿宋_GB2312"/>
          <w:color w:val="000000" w:themeColor="text1"/>
          <w:sz w:val="28"/>
          <w:szCs w:val="28"/>
          <w14:textFill>
            <w14:solidFill>
              <w14:schemeClr w14:val="tx1"/>
            </w14:solidFill>
          </w14:textFill>
        </w:rPr>
        <w:t>1,999.15</w:t>
      </w:r>
      <w:r>
        <w:rPr>
          <w:rFonts w:hint="eastAsia" w:ascii="Times New Roman" w:hAnsi="Times New Roman" w:eastAsia="仿宋_GB2312"/>
          <w:color w:val="000000" w:themeColor="text1"/>
          <w:sz w:val="28"/>
          <w:szCs w:val="28"/>
          <w14:textFill>
            <w14:solidFill>
              <w14:schemeClr w14:val="tx1"/>
            </w14:solidFill>
          </w14:textFill>
        </w:rPr>
        <w:t>元，后附请示行政总监或区域总监未签字；2025年3月16号凭证、4月7号凭证及7月16号凭证发放社工工资，后附工资单“领导审批”处未签名。建议严格执行承接机构制定的《财务报销制度及报销流程》中的审批程序，对审批程序不规范的费用支出，不予报销。</w:t>
      </w:r>
    </w:p>
    <w:bookmarkEnd w:id="11"/>
    <w:bookmarkEnd w:id="12"/>
    <w:p>
      <w:pPr>
        <w:spacing w:line="630" w:lineRule="exact"/>
        <w:ind w:firstLine="560" w:firstLineChars="200"/>
        <w:rPr>
          <w:rFonts w:ascii="Times New Roman" w:hAnsi="Times New Roman" w:eastAsia="仿宋_GB2312"/>
          <w:color w:val="000000" w:themeColor="text1"/>
          <w:sz w:val="28"/>
          <w:szCs w:val="28"/>
          <w14:textFill>
            <w14:solidFill>
              <w14:schemeClr w14:val="tx1"/>
            </w14:solidFill>
          </w14:textFill>
        </w:rPr>
      </w:pPr>
      <w:r>
        <w:rPr>
          <w:rFonts w:hint="eastAsia" w:ascii="Times New Roman" w:hAnsi="Times New Roman" w:eastAsia="仿宋_GB2312"/>
          <w:color w:val="000000" w:themeColor="text1"/>
          <w:sz w:val="28"/>
          <w:szCs w:val="28"/>
          <w14:textFill>
            <w14:solidFill>
              <w14:schemeClr w14:val="tx1"/>
            </w14:solidFill>
          </w14:textFill>
        </w:rPr>
        <w:t>㈡上期问题整改情况</w:t>
      </w:r>
    </w:p>
    <w:p>
      <w:pPr>
        <w:spacing w:line="630" w:lineRule="exact"/>
        <w:ind w:firstLine="560" w:firstLineChars="200"/>
        <w:rPr>
          <w:rFonts w:ascii="Times New Roman" w:hAnsi="Times New Roman" w:eastAsia="仿宋_GB2312"/>
          <w:color w:val="000000" w:themeColor="text1"/>
          <w:sz w:val="28"/>
          <w:szCs w:val="28"/>
          <w14:textFill>
            <w14:solidFill>
              <w14:schemeClr w14:val="tx1"/>
            </w14:solidFill>
          </w14:textFill>
        </w:rPr>
      </w:pPr>
      <w:r>
        <w:rPr>
          <w:rFonts w:hint="eastAsia" w:ascii="Times New Roman" w:hAnsi="Times New Roman" w:eastAsia="仿宋_GB2312"/>
          <w:color w:val="000000" w:themeColor="text1"/>
          <w:sz w:val="28"/>
          <w:szCs w:val="28"/>
          <w14:textFill>
            <w14:solidFill>
              <w14:schemeClr w14:val="tx1"/>
            </w14:solidFill>
          </w14:textFill>
        </w:rPr>
        <w:t>根据“业会专审[2025]048号”财务管理情况评估报告，上一评估期（2</w:t>
      </w:r>
      <w:r>
        <w:rPr>
          <w:rFonts w:ascii="Times New Roman" w:hAnsi="Times New Roman" w:eastAsia="仿宋_GB2312"/>
          <w:color w:val="000000" w:themeColor="text1"/>
          <w:sz w:val="28"/>
          <w:szCs w:val="28"/>
          <w14:textFill>
            <w14:solidFill>
              <w14:schemeClr w14:val="tx1"/>
            </w14:solidFill>
          </w14:textFill>
        </w:rPr>
        <w:t>0</w:t>
      </w:r>
      <w:r>
        <w:rPr>
          <w:rFonts w:hint="eastAsia" w:ascii="Times New Roman" w:hAnsi="Times New Roman" w:eastAsia="仿宋_GB2312"/>
          <w:color w:val="000000" w:themeColor="text1"/>
          <w:sz w:val="28"/>
          <w:szCs w:val="28"/>
          <w14:textFill>
            <w14:solidFill>
              <w14:schemeClr w14:val="tx1"/>
            </w14:solidFill>
          </w14:textFill>
        </w:rPr>
        <w:t>24年8月24日至2</w:t>
      </w:r>
      <w:r>
        <w:rPr>
          <w:rFonts w:ascii="Times New Roman" w:hAnsi="Times New Roman" w:eastAsia="仿宋_GB2312"/>
          <w:color w:val="000000" w:themeColor="text1"/>
          <w:sz w:val="28"/>
          <w:szCs w:val="28"/>
          <w14:textFill>
            <w14:solidFill>
              <w14:schemeClr w14:val="tx1"/>
            </w14:solidFill>
          </w14:textFill>
        </w:rPr>
        <w:t>02</w:t>
      </w:r>
      <w:r>
        <w:rPr>
          <w:rFonts w:hint="eastAsia" w:ascii="Times New Roman" w:hAnsi="Times New Roman" w:eastAsia="仿宋_GB2312"/>
          <w:color w:val="000000" w:themeColor="text1"/>
          <w:sz w:val="28"/>
          <w:szCs w:val="28"/>
          <w14:textFill>
            <w14:solidFill>
              <w14:schemeClr w14:val="tx1"/>
            </w14:solidFill>
          </w14:textFill>
        </w:rPr>
        <w:t>5年2月23日）存在“部分费用支出未按</w:t>
      </w:r>
      <w:r>
        <w:rPr>
          <w:rFonts w:hint="eastAsia" w:ascii="Times New Roman" w:hAnsi="Times New Roman" w:eastAsia="仿宋_GB2312"/>
          <w:sz w:val="28"/>
          <w:szCs w:val="28"/>
        </w:rPr>
        <w:t>《财务报销制度及报销流程》审批</w:t>
      </w:r>
      <w:r>
        <w:rPr>
          <w:rFonts w:hint="eastAsia" w:ascii="Times New Roman" w:hAnsi="Times New Roman" w:eastAsia="仿宋_GB2312"/>
          <w:color w:val="000000" w:themeColor="text1"/>
          <w:sz w:val="28"/>
          <w:szCs w:val="28"/>
          <w14:textFill>
            <w14:solidFill>
              <w14:schemeClr w14:val="tx1"/>
            </w14:solidFill>
          </w14:textFill>
        </w:rPr>
        <w:t>”的情况：如：2024年9月265号凭证支付活动费16,485</w:t>
      </w:r>
      <w:r>
        <w:rPr>
          <w:rFonts w:ascii="Times New Roman" w:hAnsi="Times New Roman" w:eastAsia="仿宋_GB2312"/>
          <w:color w:val="000000" w:themeColor="text1"/>
          <w:sz w:val="28"/>
          <w:szCs w:val="28"/>
          <w14:textFill>
            <w14:solidFill>
              <w14:schemeClr w14:val="tx1"/>
            </w14:solidFill>
          </w14:textFill>
        </w:rPr>
        <w:t>.00</w:t>
      </w:r>
      <w:r>
        <w:rPr>
          <w:rFonts w:hint="eastAsia" w:ascii="Times New Roman" w:hAnsi="Times New Roman" w:eastAsia="仿宋_GB2312"/>
          <w:color w:val="000000" w:themeColor="text1"/>
          <w:sz w:val="28"/>
          <w:szCs w:val="28"/>
          <w14:textFill>
            <w14:solidFill>
              <w14:schemeClr w14:val="tx1"/>
            </w14:solidFill>
          </w14:textFill>
        </w:rPr>
        <w:t>元后附费用报销单未见区域总监或行政总监签字; 2024年10月138号凭证支付活动费7,000</w:t>
      </w:r>
      <w:r>
        <w:rPr>
          <w:rFonts w:ascii="Times New Roman" w:hAnsi="Times New Roman" w:eastAsia="仿宋_GB2312"/>
          <w:color w:val="000000" w:themeColor="text1"/>
          <w:sz w:val="28"/>
          <w:szCs w:val="28"/>
          <w14:textFill>
            <w14:solidFill>
              <w14:schemeClr w14:val="tx1"/>
            </w14:solidFill>
          </w14:textFill>
        </w:rPr>
        <w:t>.00</w:t>
      </w:r>
      <w:r>
        <w:rPr>
          <w:rFonts w:hint="eastAsia" w:ascii="Times New Roman" w:hAnsi="Times New Roman" w:eastAsia="仿宋_GB2312"/>
          <w:color w:val="000000" w:themeColor="text1"/>
          <w:sz w:val="28"/>
          <w:szCs w:val="28"/>
          <w14:textFill>
            <w14:solidFill>
              <w14:schemeClr w14:val="tx1"/>
            </w14:solidFill>
          </w14:textFill>
        </w:rPr>
        <w:t>元，后附费用报销单和请示均未见区域总监或行政总监签字。</w:t>
      </w:r>
      <w:r>
        <w:rPr>
          <w:rFonts w:hint="eastAsia" w:eastAsia="仿宋_GB2312"/>
          <w:color w:val="000000" w:themeColor="text1"/>
          <w:sz w:val="28"/>
          <w:szCs w:val="28"/>
          <w14:textFill>
            <w14:solidFill>
              <w14:schemeClr w14:val="tx1"/>
            </w14:solidFill>
          </w14:textFill>
        </w:rPr>
        <w:t>经审核，本评估期内石碁社工站已对上期问题进行整改，但本评估期内仍存在同类问题。</w:t>
      </w:r>
    </w:p>
    <w:p>
      <w:pPr>
        <w:spacing w:line="630" w:lineRule="exact"/>
        <w:ind w:right="-569" w:rightChars="-271"/>
        <w:outlineLvl w:val="0"/>
        <w:rPr>
          <w:rFonts w:ascii="Times New Roman" w:hAnsi="Times New Roman" w:eastAsia="仿宋_GB2312" w:cs="Times New Roman"/>
          <w:b/>
          <w:sz w:val="28"/>
          <w:szCs w:val="28"/>
        </w:rPr>
      </w:pPr>
      <w:r>
        <w:rPr>
          <w:rFonts w:ascii="Times New Roman" w:hAnsi="Times New Roman" w:eastAsia="仿宋_GB2312" w:cs="Times New Roman"/>
          <w:b/>
          <w:sz w:val="28"/>
          <w:szCs w:val="28"/>
        </w:rPr>
        <w:t>十、评估结论</w:t>
      </w:r>
    </w:p>
    <w:p>
      <w:pPr>
        <w:spacing w:line="63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经上述审核，我们认为</w:t>
      </w:r>
      <w:r>
        <w:rPr>
          <w:rFonts w:hint="eastAsia" w:ascii="Times New Roman" w:hAnsi="Times New Roman" w:eastAsia="仿宋_GB2312" w:cs="Times New Roman"/>
          <w:sz w:val="28"/>
          <w:szCs w:val="28"/>
        </w:rPr>
        <w:t>广州市番禺区石碁镇社工服务站</w:t>
      </w:r>
      <w:r>
        <w:rPr>
          <w:rFonts w:ascii="Times New Roman" w:hAnsi="Times New Roman" w:eastAsia="仿宋_GB2312" w:cs="Times New Roman"/>
          <w:sz w:val="28"/>
          <w:szCs w:val="28"/>
        </w:rPr>
        <w:t>本次财务评估等级为：合格。</w:t>
      </w:r>
    </w:p>
    <w:p>
      <w:pPr>
        <w:spacing w:line="590" w:lineRule="exact"/>
        <w:ind w:right="-569" w:rightChars="-271"/>
        <w:outlineLvl w:val="0"/>
        <w:rPr>
          <w:rFonts w:ascii="Times New Roman" w:hAnsi="Times New Roman" w:eastAsia="仿宋_GB2312" w:cs="Times New Roman"/>
          <w:b/>
          <w:sz w:val="28"/>
          <w:szCs w:val="28"/>
        </w:rPr>
      </w:pPr>
      <w:r>
        <w:rPr>
          <w:rFonts w:hint="eastAsia" w:ascii="Times New Roman" w:hAnsi="Times New Roman" w:eastAsia="仿宋_GB2312" w:cs="Times New Roman"/>
          <w:b/>
          <w:sz w:val="28"/>
          <w:szCs w:val="28"/>
        </w:rPr>
        <w:t>十一</w:t>
      </w:r>
      <w:r>
        <w:rPr>
          <w:rFonts w:ascii="Times New Roman" w:hAnsi="Times New Roman" w:eastAsia="仿宋_GB2312" w:cs="Times New Roman"/>
          <w:b/>
          <w:sz w:val="28"/>
          <w:szCs w:val="28"/>
        </w:rPr>
        <w:t>、其他事项</w:t>
      </w:r>
    </w:p>
    <w:p>
      <w:pPr>
        <w:spacing w:line="590" w:lineRule="exact"/>
        <w:ind w:firstLine="560" w:firstLineChars="200"/>
        <w:rPr>
          <w:rFonts w:ascii="Times New Roman" w:hAnsi="Times New Roman" w:eastAsia="仿宋" w:cs="Times New Roman"/>
          <w:color w:val="000000" w:themeColor="text1"/>
          <w:sz w:val="28"/>
          <w:szCs w:val="28"/>
          <w14:textFill>
            <w14:solidFill>
              <w14:schemeClr w14:val="tx1"/>
            </w14:solidFill>
          </w14:textFill>
        </w:rPr>
      </w:pPr>
      <w:r>
        <w:rPr>
          <w:rFonts w:ascii="Times New Roman" w:hAnsi="Times New Roman" w:eastAsia="仿宋" w:cs="Times New Roman"/>
          <w:color w:val="000000" w:themeColor="text1"/>
          <w:sz w:val="28"/>
          <w:szCs w:val="28"/>
          <w14:textFill>
            <w14:solidFill>
              <w14:schemeClr w14:val="tx1"/>
            </w14:solidFill>
          </w14:textFill>
        </w:rPr>
        <w:t>本报告仅供本次委托目的，即对</w:t>
      </w:r>
      <w:r>
        <w:rPr>
          <w:rFonts w:hint="eastAsia" w:ascii="Times New Roman" w:hAnsi="Times New Roman" w:eastAsia="仿宋_GB2312" w:cs="Times New Roman"/>
          <w:sz w:val="28"/>
          <w:szCs w:val="28"/>
        </w:rPr>
        <w:t>石碁社工站</w:t>
      </w:r>
      <w:r>
        <w:rPr>
          <w:rFonts w:ascii="Times New Roman" w:hAnsi="Times New Roman" w:eastAsia="仿宋" w:cs="Times New Roman"/>
          <w:color w:val="000000" w:themeColor="text1"/>
          <w:sz w:val="28"/>
          <w:szCs w:val="28"/>
          <w14:textFill>
            <w14:solidFill>
              <w14:schemeClr w14:val="tx1"/>
            </w14:solidFill>
          </w14:textFill>
        </w:rPr>
        <w:t>财务评估使用，本事务所及本注册会计师不对运用本报告于其他目的造成的经济后果负责。</w:t>
      </w:r>
    </w:p>
    <w:p>
      <w:pPr>
        <w:spacing w:line="600" w:lineRule="exact"/>
        <w:ind w:firstLine="440" w:firstLineChars="200"/>
        <w:rPr>
          <w:rFonts w:ascii="Times New Roman" w:hAnsi="Times New Roman" w:eastAsia="仿宋_GB2312" w:cs="Times New Roman"/>
          <w:sz w:val="22"/>
          <w:szCs w:val="28"/>
        </w:rPr>
      </w:pPr>
    </w:p>
    <w:p>
      <w:pPr>
        <w:spacing w:line="600" w:lineRule="exact"/>
        <w:rPr>
          <w:rFonts w:ascii="Times New Roman" w:hAnsi="Times New Roman" w:eastAsia="仿宋_GB2312" w:cs="Times New Roman"/>
          <w:sz w:val="28"/>
          <w:szCs w:val="28"/>
        </w:rPr>
      </w:pPr>
    </w:p>
    <w:p>
      <w:pPr>
        <w:spacing w:line="600" w:lineRule="exact"/>
        <w:rPr>
          <w:rFonts w:ascii="Times New Roman" w:hAnsi="Times New Roman" w:eastAsia="仿宋_GB2312" w:cs="Times New Roman"/>
          <w:sz w:val="28"/>
          <w:szCs w:val="28"/>
        </w:rPr>
      </w:pPr>
    </w:p>
    <w:tbl>
      <w:tblPr>
        <w:tblStyle w:val="7"/>
        <w:tblW w:w="9346" w:type="dxa"/>
        <w:tblInd w:w="122" w:type="dxa"/>
        <w:tblLayout w:type="autofit"/>
        <w:tblCellMar>
          <w:top w:w="0" w:type="dxa"/>
          <w:left w:w="108" w:type="dxa"/>
          <w:bottom w:w="0" w:type="dxa"/>
          <w:right w:w="108" w:type="dxa"/>
        </w:tblCellMar>
      </w:tblPr>
      <w:tblGrid>
        <w:gridCol w:w="4482"/>
        <w:gridCol w:w="246"/>
        <w:gridCol w:w="4618"/>
      </w:tblGrid>
      <w:tr>
        <w:tblPrEx>
          <w:tblCellMar>
            <w:top w:w="0" w:type="dxa"/>
            <w:left w:w="108" w:type="dxa"/>
            <w:bottom w:w="0" w:type="dxa"/>
            <w:right w:w="108" w:type="dxa"/>
          </w:tblCellMar>
        </w:tblPrEx>
        <w:trPr>
          <w:trHeight w:val="1511" w:hRule="atLeast"/>
        </w:trPr>
        <w:tc>
          <w:tcPr>
            <w:tcW w:w="4482" w:type="dxa"/>
          </w:tcPr>
          <w:p>
            <w:pPr>
              <w:spacing w:line="320" w:lineRule="exact"/>
              <w:jc w:val="center"/>
              <w:rPr>
                <w:rFonts w:ascii="Times New Roman" w:hAnsi="Times New Roman" w:eastAsia="华文新魏" w:cs="Times New Roman"/>
                <w:b/>
                <w:color w:val="000000" w:themeColor="text1"/>
                <w:sz w:val="30"/>
                <w14:textFill>
                  <w14:solidFill>
                    <w14:schemeClr w14:val="tx1"/>
                  </w14:solidFill>
                </w14:textFill>
              </w:rPr>
            </w:pPr>
            <w:r>
              <w:rPr>
                <w:rFonts w:ascii="Times New Roman" w:hAnsi="Times New Roman" w:eastAsia="华文新魏" w:cs="Times New Roman"/>
                <w:b/>
                <w:color w:val="000000" w:themeColor="text1"/>
                <w:sz w:val="30"/>
                <w14:textFill>
                  <w14:solidFill>
                    <w14:schemeClr w14:val="tx1"/>
                  </w14:solidFill>
                </w14:textFill>
              </w:rPr>
              <w:t>广州业勤会计师事务所有限公司</w:t>
            </w:r>
          </w:p>
          <w:p>
            <w:pPr>
              <w:spacing w:line="320" w:lineRule="exact"/>
              <w:rPr>
                <w:rFonts w:ascii="Times New Roman" w:hAnsi="Times New Roman" w:eastAsia="华文新魏" w:cs="Times New Roman"/>
                <w:b/>
                <w:color w:val="000000" w:themeColor="text1"/>
                <w:sz w:val="30"/>
                <w14:textFill>
                  <w14:solidFill>
                    <w14:schemeClr w14:val="tx1"/>
                  </w14:solidFill>
                </w14:textFill>
              </w:rPr>
            </w:pPr>
          </w:p>
          <w:p>
            <w:pPr>
              <w:spacing w:line="320" w:lineRule="exact"/>
              <w:jc w:val="center"/>
              <w:rPr>
                <w:rFonts w:ascii="Times New Roman" w:hAnsi="Times New Roman" w:eastAsia="华文新魏" w:cs="Times New Roman"/>
                <w:b/>
                <w:color w:val="000000" w:themeColor="text1"/>
                <w:sz w:val="30"/>
                <w14:textFill>
                  <w14:solidFill>
                    <w14:schemeClr w14:val="tx1"/>
                  </w14:solidFill>
                </w14:textFill>
              </w:rPr>
            </w:pPr>
            <w:r>
              <w:rPr>
                <w:rFonts w:ascii="Times New Roman" w:hAnsi="Times New Roman" w:eastAsia="华文新魏" w:cs="Times New Roman"/>
                <w:b/>
                <w:color w:val="000000" w:themeColor="text1"/>
                <w:sz w:val="28"/>
                <w14:textFill>
                  <w14:solidFill>
                    <w14:schemeClr w14:val="tx1"/>
                  </w14:solidFill>
                </w14:textFill>
              </w:rPr>
              <w:t>广州·番禺</w:t>
            </w:r>
          </w:p>
          <w:p>
            <w:pPr>
              <w:spacing w:line="320" w:lineRule="exact"/>
              <w:rPr>
                <w:rFonts w:ascii="Times New Roman" w:hAnsi="Times New Roman" w:eastAsia="华文新魏" w:cs="Times New Roman"/>
                <w:b/>
                <w:color w:val="000000" w:themeColor="text1"/>
                <w:sz w:val="30"/>
                <w14:textFill>
                  <w14:solidFill>
                    <w14:schemeClr w14:val="tx1"/>
                  </w14:solidFill>
                </w14:textFill>
              </w:rPr>
            </w:pPr>
          </w:p>
          <w:p>
            <w:pPr>
              <w:spacing w:line="320" w:lineRule="exact"/>
              <w:ind w:right="-6"/>
              <w:jc w:val="center"/>
              <w:rPr>
                <w:rFonts w:ascii="Times New Roman" w:hAnsi="Times New Roman" w:eastAsia="华文新魏" w:cs="Times New Roman"/>
                <w:sz w:val="28"/>
                <w:szCs w:val="28"/>
              </w:rPr>
            </w:pPr>
            <w:r>
              <w:rPr>
                <w:rFonts w:ascii="Times New Roman" w:hAnsi="Times New Roman" w:eastAsia="华文新魏" w:cs="Times New Roman"/>
                <w:b/>
                <w:color w:val="000000" w:themeColor="text1"/>
                <w:sz w:val="28"/>
                <w14:textFill>
                  <w14:solidFill>
                    <w14:schemeClr w14:val="tx1"/>
                  </w14:solidFill>
                </w14:textFill>
              </w:rPr>
              <w:t>二</w:t>
            </w:r>
            <w:r>
              <w:rPr>
                <w:rFonts w:hint="eastAsia" w:ascii="宋体" w:hAnsi="宋体" w:eastAsia="宋体" w:cs="宋体"/>
                <w:b/>
                <w:color w:val="000000" w:themeColor="text1"/>
                <w:sz w:val="28"/>
                <w14:textFill>
                  <w14:solidFill>
                    <w14:schemeClr w14:val="tx1"/>
                  </w14:solidFill>
                </w14:textFill>
              </w:rPr>
              <w:t>〇</w:t>
            </w:r>
            <w:r>
              <w:rPr>
                <w:rFonts w:ascii="Times New Roman" w:hAnsi="Times New Roman" w:eastAsia="华文新魏" w:cs="Times New Roman"/>
                <w:b/>
                <w:color w:val="000000" w:themeColor="text1"/>
                <w:sz w:val="28"/>
                <w14:textFill>
                  <w14:solidFill>
                    <w14:schemeClr w14:val="tx1"/>
                  </w14:solidFill>
                </w14:textFill>
              </w:rPr>
              <w:t>二</w:t>
            </w:r>
            <w:r>
              <w:rPr>
                <w:rFonts w:hint="eastAsia" w:ascii="Times New Roman" w:hAnsi="Times New Roman" w:eastAsia="华文新魏" w:cs="Times New Roman"/>
                <w:b/>
                <w:color w:val="000000" w:themeColor="text1"/>
                <w:sz w:val="28"/>
                <w14:textFill>
                  <w14:solidFill>
                    <w14:schemeClr w14:val="tx1"/>
                  </w14:solidFill>
                </w14:textFill>
              </w:rPr>
              <w:t>五</w:t>
            </w:r>
            <w:r>
              <w:rPr>
                <w:rFonts w:ascii="Times New Roman" w:hAnsi="Times New Roman" w:eastAsia="华文新魏" w:cs="Times New Roman"/>
                <w:b/>
                <w:color w:val="000000" w:themeColor="text1"/>
                <w:sz w:val="28"/>
                <w14:textFill>
                  <w14:solidFill>
                    <w14:schemeClr w14:val="tx1"/>
                  </w14:solidFill>
                </w14:textFill>
              </w:rPr>
              <w:t>年</w:t>
            </w:r>
            <w:r>
              <w:rPr>
                <w:rFonts w:hint="eastAsia" w:ascii="Times New Roman" w:hAnsi="Times New Roman" w:eastAsia="华文新魏" w:cs="Times New Roman"/>
                <w:b/>
                <w:color w:val="000000" w:themeColor="text1"/>
                <w:sz w:val="28"/>
                <w14:textFill>
                  <w14:solidFill>
                    <w14:schemeClr w14:val="tx1"/>
                  </w14:solidFill>
                </w14:textFill>
              </w:rPr>
              <w:t>十</w:t>
            </w:r>
            <w:r>
              <w:rPr>
                <w:rFonts w:ascii="Times New Roman" w:hAnsi="Times New Roman" w:eastAsia="华文新魏" w:cs="Times New Roman"/>
                <w:b/>
                <w:color w:val="000000" w:themeColor="text1"/>
                <w:sz w:val="28"/>
                <w14:textFill>
                  <w14:solidFill>
                    <w14:schemeClr w14:val="tx1"/>
                  </w14:solidFill>
                </w14:textFill>
              </w:rPr>
              <w:t>月</w:t>
            </w:r>
            <w:r>
              <w:rPr>
                <w:rFonts w:hint="eastAsia" w:ascii="Times New Roman" w:hAnsi="Times New Roman" w:eastAsia="华文新魏" w:cs="Times New Roman"/>
                <w:b/>
                <w:color w:val="000000" w:themeColor="text1"/>
                <w:sz w:val="28"/>
                <w14:textFill>
                  <w14:solidFill>
                    <w14:schemeClr w14:val="tx1"/>
                  </w14:solidFill>
                </w14:textFill>
              </w:rPr>
              <w:t>二十七</w:t>
            </w:r>
            <w:r>
              <w:rPr>
                <w:rFonts w:ascii="Times New Roman" w:hAnsi="Times New Roman" w:eastAsia="华文新魏" w:cs="Times New Roman"/>
                <w:b/>
                <w:color w:val="000000" w:themeColor="text1"/>
                <w:sz w:val="28"/>
                <w14:textFill>
                  <w14:solidFill>
                    <w14:schemeClr w14:val="tx1"/>
                  </w14:solidFill>
                </w14:textFill>
              </w:rPr>
              <w:t>日</w:t>
            </w:r>
          </w:p>
        </w:tc>
        <w:tc>
          <w:tcPr>
            <w:tcW w:w="246" w:type="dxa"/>
          </w:tcPr>
          <w:p>
            <w:pPr>
              <w:spacing w:line="560" w:lineRule="exact"/>
              <w:ind w:right="-6"/>
              <w:rPr>
                <w:rFonts w:ascii="Times New Roman" w:hAnsi="Times New Roman" w:eastAsia="华文新魏" w:cs="Times New Roman"/>
                <w:sz w:val="28"/>
                <w:szCs w:val="28"/>
              </w:rPr>
            </w:pPr>
          </w:p>
        </w:tc>
        <w:tc>
          <w:tcPr>
            <w:tcW w:w="4618" w:type="dxa"/>
          </w:tcPr>
          <w:p>
            <w:pPr>
              <w:spacing w:line="320" w:lineRule="exact"/>
              <w:rPr>
                <w:rFonts w:ascii="Times New Roman" w:hAnsi="Times New Roman" w:cs="Times New Roman"/>
                <w:b/>
                <w:color w:val="000000" w:themeColor="text1"/>
                <w:sz w:val="30"/>
                <w14:textFill>
                  <w14:solidFill>
                    <w14:schemeClr w14:val="tx1"/>
                  </w14:solidFill>
                </w14:textFill>
              </w:rPr>
            </w:pPr>
            <w:r>
              <w:rPr>
                <w:rFonts w:ascii="Times New Roman" w:hAnsi="Times New Roman" w:eastAsia="华文新魏" w:cs="Times New Roman"/>
                <w:b/>
                <w:color w:val="000000" w:themeColor="text1"/>
                <w:sz w:val="28"/>
                <w14:textFill>
                  <w14:solidFill>
                    <w14:schemeClr w14:val="tx1"/>
                  </w14:solidFill>
                </w14:textFill>
              </w:rPr>
              <w:t>中国注册会计师</w:t>
            </w:r>
            <w:r>
              <w:rPr>
                <w:rFonts w:ascii="Times New Roman" w:hAnsi="Times New Roman" w:cs="Times New Roman"/>
                <w:b/>
                <w:color w:val="000000" w:themeColor="text1"/>
                <w:sz w:val="30"/>
                <w14:textFill>
                  <w14:solidFill>
                    <w14:schemeClr w14:val="tx1"/>
                  </w14:solidFill>
                </w14:textFill>
              </w:rPr>
              <w:t>：</w:t>
            </w:r>
          </w:p>
          <w:p>
            <w:pPr>
              <w:spacing w:line="320" w:lineRule="exact"/>
              <w:ind w:left="3513" w:hanging="3512"/>
              <w:rPr>
                <w:rFonts w:ascii="Times New Roman" w:hAnsi="Times New Roman" w:eastAsia="华文新魏" w:cs="Times New Roman"/>
                <w:b/>
                <w:color w:val="000000" w:themeColor="text1"/>
                <w:sz w:val="28"/>
                <w:szCs w:val="28"/>
                <w14:textFill>
                  <w14:solidFill>
                    <w14:schemeClr w14:val="tx1"/>
                  </w14:solidFill>
                </w14:textFill>
              </w:rPr>
            </w:pPr>
            <w:r>
              <w:rPr>
                <w:rFonts w:ascii="Times New Roman" w:hAnsi="Times New Roman" w:eastAsia="仿宋" w:cs="Times New Roman"/>
                <w:b/>
                <w:color w:val="000000" w:themeColor="text1"/>
                <w:sz w:val="28"/>
                <w:szCs w:val="28"/>
                <w14:textFill>
                  <w14:solidFill>
                    <w14:schemeClr w14:val="tx1"/>
                  </w14:solidFill>
                </w14:textFill>
              </w:rPr>
              <w:t>（</w:t>
            </w:r>
            <w:r>
              <w:rPr>
                <w:rFonts w:ascii="Times New Roman" w:hAnsi="Times New Roman" w:eastAsia="华文新魏" w:cs="Times New Roman"/>
                <w:b/>
                <w:color w:val="000000" w:themeColor="text1"/>
                <w:sz w:val="28"/>
                <w:szCs w:val="28"/>
                <w14:textFill>
                  <w14:solidFill>
                    <w14:schemeClr w14:val="tx1"/>
                  </w14:solidFill>
                </w14:textFill>
              </w:rPr>
              <w:t>项目负责人</w:t>
            </w:r>
            <w:r>
              <w:rPr>
                <w:rFonts w:ascii="Times New Roman" w:hAnsi="Times New Roman" w:eastAsia="仿宋" w:cs="Times New Roman"/>
                <w:b/>
                <w:color w:val="000000" w:themeColor="text1"/>
                <w:sz w:val="28"/>
                <w:szCs w:val="28"/>
                <w14:textFill>
                  <w14:solidFill>
                    <w14:schemeClr w14:val="tx1"/>
                  </w14:solidFill>
                </w14:textFill>
              </w:rPr>
              <w:t>）</w:t>
            </w:r>
          </w:p>
          <w:p>
            <w:pPr>
              <w:spacing w:line="320" w:lineRule="exact"/>
              <w:ind w:left="3513" w:hanging="3512"/>
              <w:rPr>
                <w:rFonts w:ascii="Times New Roman" w:hAnsi="Times New Roman" w:eastAsia="华文新魏" w:cs="Times New Roman"/>
                <w:b/>
                <w:color w:val="000000" w:themeColor="text1"/>
                <w:sz w:val="30"/>
                <w14:textFill>
                  <w14:solidFill>
                    <w14:schemeClr w14:val="tx1"/>
                  </w14:solidFill>
                </w14:textFill>
              </w:rPr>
            </w:pPr>
          </w:p>
          <w:p>
            <w:pPr>
              <w:spacing w:line="320" w:lineRule="exact"/>
              <w:ind w:left="84"/>
              <w:rPr>
                <w:rFonts w:ascii="Times New Roman" w:hAnsi="Times New Roman" w:eastAsia="华文新魏" w:cs="Times New Roman"/>
                <w:b/>
                <w:color w:val="000000" w:themeColor="text1"/>
                <w:sz w:val="30"/>
                <w14:textFill>
                  <w14:solidFill>
                    <w14:schemeClr w14:val="tx1"/>
                  </w14:solidFill>
                </w14:textFill>
              </w:rPr>
            </w:pPr>
          </w:p>
          <w:p>
            <w:pPr>
              <w:spacing w:line="320" w:lineRule="exact"/>
              <w:ind w:right="-6"/>
              <w:rPr>
                <w:rFonts w:ascii="Times New Roman" w:hAnsi="Times New Roman" w:eastAsia="华文新魏" w:cs="Times New Roman"/>
                <w:sz w:val="28"/>
                <w:szCs w:val="28"/>
              </w:rPr>
            </w:pPr>
            <w:r>
              <w:rPr>
                <w:rFonts w:ascii="Times New Roman" w:hAnsi="Times New Roman" w:eastAsia="华文新魏" w:cs="Times New Roman"/>
                <w:b/>
                <w:color w:val="000000" w:themeColor="text1"/>
                <w:sz w:val="28"/>
                <w14:textFill>
                  <w14:solidFill>
                    <w14:schemeClr w14:val="tx1"/>
                  </w14:solidFill>
                </w14:textFill>
              </w:rPr>
              <w:t>中国注册会计师</w:t>
            </w:r>
            <w:r>
              <w:rPr>
                <w:rFonts w:ascii="Times New Roman" w:hAnsi="Times New Roman" w:cs="Times New Roman"/>
                <w:b/>
                <w:color w:val="000000" w:themeColor="text1"/>
                <w:sz w:val="30"/>
                <w14:textFill>
                  <w14:solidFill>
                    <w14:schemeClr w14:val="tx1"/>
                  </w14:solidFill>
                </w14:textFill>
              </w:rPr>
              <w:t>：</w:t>
            </w:r>
          </w:p>
        </w:tc>
      </w:tr>
    </w:tbl>
    <w:p>
      <w:pPr>
        <w:spacing w:line="20" w:lineRule="exact"/>
        <w:rPr>
          <w:rFonts w:ascii="Times New Roman" w:hAnsi="Times New Roman" w:eastAsia="仿宋_GB2312" w:cs="Times New Roman"/>
          <w:sz w:val="28"/>
          <w:szCs w:val="28"/>
        </w:rPr>
      </w:pPr>
    </w:p>
    <w:sectPr>
      <w:footerReference r:id="rId3" w:type="default"/>
      <w:pgSz w:w="11906" w:h="16838"/>
      <w:pgMar w:top="1134" w:right="1134" w:bottom="1077"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恅隋苤梓冼潠"/>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恅隋苤梓冼潠"/>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华文中宋">
    <w:altName w:val="汉仪中宋简"/>
    <w:panose1 w:val="02010600040101010101"/>
    <w:charset w:val="86"/>
    <w:family w:val="auto"/>
    <w:pitch w:val="default"/>
    <w:sig w:usb0="00000000" w:usb1="0000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恅隋苤梓冼潠">
    <w:panose1 w:val="02010609010101010101"/>
    <w:charset w:val="00"/>
    <w:family w:val="auto"/>
    <w:pitch w:val="default"/>
    <w:sig w:usb0="00000000" w:usb1="00000000" w:usb2="00000000" w:usb3="00000000" w:csb0="00000000" w:csb1="00000000"/>
  </w:font>
  <w:font w:name="汉仪中宋简">
    <w:panose1 w:val="02010600000101010101"/>
    <w:charset w:val="86"/>
    <w:family w:val="auto"/>
    <w:pitch w:val="default"/>
    <w:sig w:usb0="00000001" w:usb1="080E0800" w:usb2="00000002"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02991162"/>
      <w:docPartObj>
        <w:docPartGallery w:val="autotext"/>
      </w:docPartObj>
    </w:sdtPr>
    <w:sdtContent>
      <w:p>
        <w:pPr>
          <w:pStyle w:val="4"/>
          <w:jc w:val="center"/>
        </w:pPr>
        <w:r>
          <w:fldChar w:fldCharType="begin"/>
        </w:r>
        <w:r>
          <w:instrText xml:space="preserve">PAGE   \* MERGEFORMAT</w:instrText>
        </w:r>
        <w:r>
          <w:fldChar w:fldCharType="separate"/>
        </w:r>
        <w:r>
          <w:rPr>
            <w:lang w:val="zh-CN"/>
          </w:rPr>
          <w:t>10</w:t>
        </w:r>
        <w: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347B"/>
    <w:rsid w:val="0000380C"/>
    <w:rsid w:val="00006946"/>
    <w:rsid w:val="00010BDE"/>
    <w:rsid w:val="00011EEA"/>
    <w:rsid w:val="00013248"/>
    <w:rsid w:val="000153DE"/>
    <w:rsid w:val="000159B7"/>
    <w:rsid w:val="00015B74"/>
    <w:rsid w:val="00031879"/>
    <w:rsid w:val="00036EC4"/>
    <w:rsid w:val="00043252"/>
    <w:rsid w:val="00043566"/>
    <w:rsid w:val="00046C3F"/>
    <w:rsid w:val="0005317D"/>
    <w:rsid w:val="00062B39"/>
    <w:rsid w:val="000705E1"/>
    <w:rsid w:val="00070D72"/>
    <w:rsid w:val="000720EE"/>
    <w:rsid w:val="000737BD"/>
    <w:rsid w:val="00080F5B"/>
    <w:rsid w:val="00082C00"/>
    <w:rsid w:val="000877CC"/>
    <w:rsid w:val="000909F2"/>
    <w:rsid w:val="00092A58"/>
    <w:rsid w:val="000931EE"/>
    <w:rsid w:val="000957CB"/>
    <w:rsid w:val="000A330F"/>
    <w:rsid w:val="000A75B2"/>
    <w:rsid w:val="000A7E37"/>
    <w:rsid w:val="000B0C99"/>
    <w:rsid w:val="000B298B"/>
    <w:rsid w:val="000C1F1B"/>
    <w:rsid w:val="000C5EB3"/>
    <w:rsid w:val="000C7546"/>
    <w:rsid w:val="000D13DD"/>
    <w:rsid w:val="000D1FDB"/>
    <w:rsid w:val="000D4295"/>
    <w:rsid w:val="000D4C35"/>
    <w:rsid w:val="000E1815"/>
    <w:rsid w:val="000F2AE5"/>
    <w:rsid w:val="000F322D"/>
    <w:rsid w:val="000F3F46"/>
    <w:rsid w:val="000F403F"/>
    <w:rsid w:val="000F45B6"/>
    <w:rsid w:val="000F74B6"/>
    <w:rsid w:val="0011535F"/>
    <w:rsid w:val="00117A75"/>
    <w:rsid w:val="00120555"/>
    <w:rsid w:val="00121B0A"/>
    <w:rsid w:val="00121C69"/>
    <w:rsid w:val="0012230B"/>
    <w:rsid w:val="0013380D"/>
    <w:rsid w:val="001363B7"/>
    <w:rsid w:val="00154457"/>
    <w:rsid w:val="001555FC"/>
    <w:rsid w:val="00157670"/>
    <w:rsid w:val="001707CA"/>
    <w:rsid w:val="00175FF9"/>
    <w:rsid w:val="00193221"/>
    <w:rsid w:val="001A28F1"/>
    <w:rsid w:val="001A4760"/>
    <w:rsid w:val="001B4A1D"/>
    <w:rsid w:val="001C151B"/>
    <w:rsid w:val="001C1B20"/>
    <w:rsid w:val="001C60E4"/>
    <w:rsid w:val="001D5008"/>
    <w:rsid w:val="001E1963"/>
    <w:rsid w:val="001E1F85"/>
    <w:rsid w:val="001F08D5"/>
    <w:rsid w:val="001F62D3"/>
    <w:rsid w:val="001F73F7"/>
    <w:rsid w:val="002006E8"/>
    <w:rsid w:val="00206EF8"/>
    <w:rsid w:val="00210220"/>
    <w:rsid w:val="00210375"/>
    <w:rsid w:val="00216618"/>
    <w:rsid w:val="00221B8F"/>
    <w:rsid w:val="002221D9"/>
    <w:rsid w:val="0022377A"/>
    <w:rsid w:val="0022690C"/>
    <w:rsid w:val="00234439"/>
    <w:rsid w:val="00234F33"/>
    <w:rsid w:val="0023709F"/>
    <w:rsid w:val="0024371A"/>
    <w:rsid w:val="00243EB3"/>
    <w:rsid w:val="00245153"/>
    <w:rsid w:val="00246952"/>
    <w:rsid w:val="002557D3"/>
    <w:rsid w:val="00260FCC"/>
    <w:rsid w:val="00261B70"/>
    <w:rsid w:val="00261C13"/>
    <w:rsid w:val="00262B80"/>
    <w:rsid w:val="00273BCE"/>
    <w:rsid w:val="00282B1E"/>
    <w:rsid w:val="00285604"/>
    <w:rsid w:val="00286EAF"/>
    <w:rsid w:val="00287338"/>
    <w:rsid w:val="00287778"/>
    <w:rsid w:val="002907F9"/>
    <w:rsid w:val="00292DA9"/>
    <w:rsid w:val="002A6087"/>
    <w:rsid w:val="002A7AC4"/>
    <w:rsid w:val="002B2621"/>
    <w:rsid w:val="002B61C2"/>
    <w:rsid w:val="002B7AD5"/>
    <w:rsid w:val="002B7B76"/>
    <w:rsid w:val="002C4DFA"/>
    <w:rsid w:val="002C59A5"/>
    <w:rsid w:val="002D313E"/>
    <w:rsid w:val="002D612F"/>
    <w:rsid w:val="002E1842"/>
    <w:rsid w:val="002E3398"/>
    <w:rsid w:val="002E3642"/>
    <w:rsid w:val="002E4330"/>
    <w:rsid w:val="002E4695"/>
    <w:rsid w:val="002F16C4"/>
    <w:rsid w:val="002F241A"/>
    <w:rsid w:val="002F4C38"/>
    <w:rsid w:val="002F5421"/>
    <w:rsid w:val="0030183E"/>
    <w:rsid w:val="0030660C"/>
    <w:rsid w:val="00306805"/>
    <w:rsid w:val="0030788D"/>
    <w:rsid w:val="00331E74"/>
    <w:rsid w:val="003327FC"/>
    <w:rsid w:val="00332C2E"/>
    <w:rsid w:val="0033395A"/>
    <w:rsid w:val="00333A70"/>
    <w:rsid w:val="00341923"/>
    <w:rsid w:val="00341D2A"/>
    <w:rsid w:val="00341EFE"/>
    <w:rsid w:val="003428D3"/>
    <w:rsid w:val="0034361B"/>
    <w:rsid w:val="003475FE"/>
    <w:rsid w:val="003542A6"/>
    <w:rsid w:val="00354454"/>
    <w:rsid w:val="003557CD"/>
    <w:rsid w:val="003607E2"/>
    <w:rsid w:val="00364A0B"/>
    <w:rsid w:val="00364A12"/>
    <w:rsid w:val="00377534"/>
    <w:rsid w:val="00377B7E"/>
    <w:rsid w:val="003808E9"/>
    <w:rsid w:val="003832E2"/>
    <w:rsid w:val="0038409B"/>
    <w:rsid w:val="00385392"/>
    <w:rsid w:val="003858E5"/>
    <w:rsid w:val="00390BCD"/>
    <w:rsid w:val="00391313"/>
    <w:rsid w:val="003A0B20"/>
    <w:rsid w:val="003A2E84"/>
    <w:rsid w:val="003A57F0"/>
    <w:rsid w:val="003B1840"/>
    <w:rsid w:val="003B20D1"/>
    <w:rsid w:val="003B4E86"/>
    <w:rsid w:val="003C702E"/>
    <w:rsid w:val="003D0B93"/>
    <w:rsid w:val="003D168D"/>
    <w:rsid w:val="003D4230"/>
    <w:rsid w:val="003E16DC"/>
    <w:rsid w:val="003E53B0"/>
    <w:rsid w:val="003F7ED0"/>
    <w:rsid w:val="00400901"/>
    <w:rsid w:val="00400E2F"/>
    <w:rsid w:val="004025E8"/>
    <w:rsid w:val="00412430"/>
    <w:rsid w:val="00415036"/>
    <w:rsid w:val="004165DF"/>
    <w:rsid w:val="00433629"/>
    <w:rsid w:val="00434BC3"/>
    <w:rsid w:val="004364BD"/>
    <w:rsid w:val="00436AEE"/>
    <w:rsid w:val="00437742"/>
    <w:rsid w:val="0044096F"/>
    <w:rsid w:val="00442F1D"/>
    <w:rsid w:val="00446BB1"/>
    <w:rsid w:val="004542EB"/>
    <w:rsid w:val="00456A81"/>
    <w:rsid w:val="00462BC0"/>
    <w:rsid w:val="00462ED0"/>
    <w:rsid w:val="004634CF"/>
    <w:rsid w:val="00472018"/>
    <w:rsid w:val="0047423C"/>
    <w:rsid w:val="004802B6"/>
    <w:rsid w:val="00480B95"/>
    <w:rsid w:val="004829D8"/>
    <w:rsid w:val="00491AAE"/>
    <w:rsid w:val="00495106"/>
    <w:rsid w:val="004A4F80"/>
    <w:rsid w:val="004A6C7E"/>
    <w:rsid w:val="004B0616"/>
    <w:rsid w:val="004B0E3B"/>
    <w:rsid w:val="004B28C9"/>
    <w:rsid w:val="004B4FAD"/>
    <w:rsid w:val="004B52D5"/>
    <w:rsid w:val="004B5997"/>
    <w:rsid w:val="004B6FBD"/>
    <w:rsid w:val="004B7F45"/>
    <w:rsid w:val="004C0C70"/>
    <w:rsid w:val="004C47F4"/>
    <w:rsid w:val="004C5467"/>
    <w:rsid w:val="004C74AF"/>
    <w:rsid w:val="004D1C44"/>
    <w:rsid w:val="004D495B"/>
    <w:rsid w:val="004D4C7E"/>
    <w:rsid w:val="004D4F04"/>
    <w:rsid w:val="004E1044"/>
    <w:rsid w:val="004E5656"/>
    <w:rsid w:val="004F3592"/>
    <w:rsid w:val="004F3E48"/>
    <w:rsid w:val="00504BFB"/>
    <w:rsid w:val="0050697D"/>
    <w:rsid w:val="00506F68"/>
    <w:rsid w:val="0050757A"/>
    <w:rsid w:val="00512291"/>
    <w:rsid w:val="00516B0D"/>
    <w:rsid w:val="00523022"/>
    <w:rsid w:val="0053562E"/>
    <w:rsid w:val="00544264"/>
    <w:rsid w:val="00545CED"/>
    <w:rsid w:val="005479F1"/>
    <w:rsid w:val="00547EB3"/>
    <w:rsid w:val="0055103A"/>
    <w:rsid w:val="00551E53"/>
    <w:rsid w:val="0055429C"/>
    <w:rsid w:val="0055681D"/>
    <w:rsid w:val="00557734"/>
    <w:rsid w:val="00563E90"/>
    <w:rsid w:val="0056511C"/>
    <w:rsid w:val="00565E3F"/>
    <w:rsid w:val="00565F6D"/>
    <w:rsid w:val="005718EF"/>
    <w:rsid w:val="0057736A"/>
    <w:rsid w:val="0058362F"/>
    <w:rsid w:val="00591E59"/>
    <w:rsid w:val="0059335D"/>
    <w:rsid w:val="00593FE8"/>
    <w:rsid w:val="005960FE"/>
    <w:rsid w:val="005965E3"/>
    <w:rsid w:val="00597C00"/>
    <w:rsid w:val="005A62A9"/>
    <w:rsid w:val="005A686A"/>
    <w:rsid w:val="005A738F"/>
    <w:rsid w:val="005A768B"/>
    <w:rsid w:val="005B452F"/>
    <w:rsid w:val="005B7240"/>
    <w:rsid w:val="005C4189"/>
    <w:rsid w:val="005C48D2"/>
    <w:rsid w:val="005D31D0"/>
    <w:rsid w:val="005D4272"/>
    <w:rsid w:val="005D7468"/>
    <w:rsid w:val="005E1DA9"/>
    <w:rsid w:val="005E56D0"/>
    <w:rsid w:val="005E7A87"/>
    <w:rsid w:val="005F09F1"/>
    <w:rsid w:val="005F3232"/>
    <w:rsid w:val="005F711C"/>
    <w:rsid w:val="00601F26"/>
    <w:rsid w:val="00601F7F"/>
    <w:rsid w:val="00605C63"/>
    <w:rsid w:val="006069C1"/>
    <w:rsid w:val="00610144"/>
    <w:rsid w:val="0061456C"/>
    <w:rsid w:val="00614D7C"/>
    <w:rsid w:val="00615C64"/>
    <w:rsid w:val="00615FF6"/>
    <w:rsid w:val="00621022"/>
    <w:rsid w:val="006210D5"/>
    <w:rsid w:val="00621A8E"/>
    <w:rsid w:val="00626394"/>
    <w:rsid w:val="0062796A"/>
    <w:rsid w:val="00632261"/>
    <w:rsid w:val="006329B5"/>
    <w:rsid w:val="00635406"/>
    <w:rsid w:val="00637380"/>
    <w:rsid w:val="0064008E"/>
    <w:rsid w:val="006417FE"/>
    <w:rsid w:val="006427E2"/>
    <w:rsid w:val="00642E9F"/>
    <w:rsid w:val="006435C2"/>
    <w:rsid w:val="006446B9"/>
    <w:rsid w:val="00651B02"/>
    <w:rsid w:val="00651D70"/>
    <w:rsid w:val="00654282"/>
    <w:rsid w:val="0065675D"/>
    <w:rsid w:val="0065748E"/>
    <w:rsid w:val="00657E03"/>
    <w:rsid w:val="00663189"/>
    <w:rsid w:val="006637E5"/>
    <w:rsid w:val="006646D8"/>
    <w:rsid w:val="00667B50"/>
    <w:rsid w:val="0067594B"/>
    <w:rsid w:val="00676913"/>
    <w:rsid w:val="00683627"/>
    <w:rsid w:val="0069023C"/>
    <w:rsid w:val="006905BE"/>
    <w:rsid w:val="00690F21"/>
    <w:rsid w:val="00693716"/>
    <w:rsid w:val="00694E93"/>
    <w:rsid w:val="006965B3"/>
    <w:rsid w:val="006A6E64"/>
    <w:rsid w:val="006B0BCE"/>
    <w:rsid w:val="006B2680"/>
    <w:rsid w:val="006B2855"/>
    <w:rsid w:val="006B5914"/>
    <w:rsid w:val="006B5E08"/>
    <w:rsid w:val="006C004B"/>
    <w:rsid w:val="006C01CC"/>
    <w:rsid w:val="006C3281"/>
    <w:rsid w:val="006C4341"/>
    <w:rsid w:val="006C45F3"/>
    <w:rsid w:val="006C76B0"/>
    <w:rsid w:val="006D11E7"/>
    <w:rsid w:val="006E5832"/>
    <w:rsid w:val="006E5A25"/>
    <w:rsid w:val="006F203B"/>
    <w:rsid w:val="006F3A18"/>
    <w:rsid w:val="006F4A4A"/>
    <w:rsid w:val="006F59C8"/>
    <w:rsid w:val="006F6427"/>
    <w:rsid w:val="006F7B57"/>
    <w:rsid w:val="00700432"/>
    <w:rsid w:val="0070305B"/>
    <w:rsid w:val="00710A61"/>
    <w:rsid w:val="00710ED5"/>
    <w:rsid w:val="00724324"/>
    <w:rsid w:val="007262DB"/>
    <w:rsid w:val="00730E67"/>
    <w:rsid w:val="00733271"/>
    <w:rsid w:val="00735848"/>
    <w:rsid w:val="00735FFD"/>
    <w:rsid w:val="00737E52"/>
    <w:rsid w:val="0074347B"/>
    <w:rsid w:val="00744ECD"/>
    <w:rsid w:val="007474E3"/>
    <w:rsid w:val="00756DC0"/>
    <w:rsid w:val="00757099"/>
    <w:rsid w:val="00761C3D"/>
    <w:rsid w:val="00763302"/>
    <w:rsid w:val="00764304"/>
    <w:rsid w:val="00770E29"/>
    <w:rsid w:val="00775C78"/>
    <w:rsid w:val="007769E6"/>
    <w:rsid w:val="00777671"/>
    <w:rsid w:val="007810A4"/>
    <w:rsid w:val="00782148"/>
    <w:rsid w:val="00785D57"/>
    <w:rsid w:val="00787618"/>
    <w:rsid w:val="00791CDD"/>
    <w:rsid w:val="00794999"/>
    <w:rsid w:val="00796E9A"/>
    <w:rsid w:val="007B7469"/>
    <w:rsid w:val="007C380B"/>
    <w:rsid w:val="007C4DB5"/>
    <w:rsid w:val="007D2AF7"/>
    <w:rsid w:val="007D3126"/>
    <w:rsid w:val="007E1C90"/>
    <w:rsid w:val="007E67C9"/>
    <w:rsid w:val="007F50D8"/>
    <w:rsid w:val="007F522A"/>
    <w:rsid w:val="008005B1"/>
    <w:rsid w:val="00803773"/>
    <w:rsid w:val="008076B2"/>
    <w:rsid w:val="00824124"/>
    <w:rsid w:val="00826D6B"/>
    <w:rsid w:val="008300B1"/>
    <w:rsid w:val="008341FB"/>
    <w:rsid w:val="00844A89"/>
    <w:rsid w:val="00844E3F"/>
    <w:rsid w:val="00846578"/>
    <w:rsid w:val="00846D80"/>
    <w:rsid w:val="008475DC"/>
    <w:rsid w:val="00851E10"/>
    <w:rsid w:val="008520BE"/>
    <w:rsid w:val="00852226"/>
    <w:rsid w:val="0085290D"/>
    <w:rsid w:val="00852D37"/>
    <w:rsid w:val="00853CA6"/>
    <w:rsid w:val="00854784"/>
    <w:rsid w:val="0086728C"/>
    <w:rsid w:val="00874D8C"/>
    <w:rsid w:val="008770A7"/>
    <w:rsid w:val="0088169B"/>
    <w:rsid w:val="00881A9B"/>
    <w:rsid w:val="0088227E"/>
    <w:rsid w:val="00886F92"/>
    <w:rsid w:val="00892B7A"/>
    <w:rsid w:val="00894463"/>
    <w:rsid w:val="0089681C"/>
    <w:rsid w:val="0089731E"/>
    <w:rsid w:val="008A5F8B"/>
    <w:rsid w:val="008B6622"/>
    <w:rsid w:val="008C21DE"/>
    <w:rsid w:val="008C248A"/>
    <w:rsid w:val="008C552E"/>
    <w:rsid w:val="008D48E3"/>
    <w:rsid w:val="008D5AAA"/>
    <w:rsid w:val="008E609A"/>
    <w:rsid w:val="008E7D6B"/>
    <w:rsid w:val="008F1C12"/>
    <w:rsid w:val="008F219E"/>
    <w:rsid w:val="009005D9"/>
    <w:rsid w:val="009021CA"/>
    <w:rsid w:val="009123C0"/>
    <w:rsid w:val="00915BCF"/>
    <w:rsid w:val="00916827"/>
    <w:rsid w:val="0092093D"/>
    <w:rsid w:val="009269D3"/>
    <w:rsid w:val="00931B67"/>
    <w:rsid w:val="00934111"/>
    <w:rsid w:val="009420C6"/>
    <w:rsid w:val="009565FC"/>
    <w:rsid w:val="0095757B"/>
    <w:rsid w:val="00957C94"/>
    <w:rsid w:val="00961394"/>
    <w:rsid w:val="00967845"/>
    <w:rsid w:val="0097008C"/>
    <w:rsid w:val="00976EEA"/>
    <w:rsid w:val="00982B92"/>
    <w:rsid w:val="00987CCD"/>
    <w:rsid w:val="0099026E"/>
    <w:rsid w:val="00991DF0"/>
    <w:rsid w:val="00994B3E"/>
    <w:rsid w:val="00997BCF"/>
    <w:rsid w:val="009A2B26"/>
    <w:rsid w:val="009A3C33"/>
    <w:rsid w:val="009A3E36"/>
    <w:rsid w:val="009A650B"/>
    <w:rsid w:val="009B2EDA"/>
    <w:rsid w:val="009B40D0"/>
    <w:rsid w:val="009B530B"/>
    <w:rsid w:val="009C3790"/>
    <w:rsid w:val="009C37D4"/>
    <w:rsid w:val="009C51FB"/>
    <w:rsid w:val="009C7B3C"/>
    <w:rsid w:val="009D09E0"/>
    <w:rsid w:val="009D1B0A"/>
    <w:rsid w:val="009D770C"/>
    <w:rsid w:val="009E2B23"/>
    <w:rsid w:val="009E3880"/>
    <w:rsid w:val="009E4968"/>
    <w:rsid w:val="009E549B"/>
    <w:rsid w:val="009E7944"/>
    <w:rsid w:val="009F1370"/>
    <w:rsid w:val="009F5754"/>
    <w:rsid w:val="00A001E8"/>
    <w:rsid w:val="00A01452"/>
    <w:rsid w:val="00A03D49"/>
    <w:rsid w:val="00A0420F"/>
    <w:rsid w:val="00A140DD"/>
    <w:rsid w:val="00A14FDB"/>
    <w:rsid w:val="00A20634"/>
    <w:rsid w:val="00A20B14"/>
    <w:rsid w:val="00A22BB4"/>
    <w:rsid w:val="00A305EE"/>
    <w:rsid w:val="00A31EAF"/>
    <w:rsid w:val="00A327C7"/>
    <w:rsid w:val="00A3454C"/>
    <w:rsid w:val="00A34711"/>
    <w:rsid w:val="00A35CC4"/>
    <w:rsid w:val="00A40F4F"/>
    <w:rsid w:val="00A4370E"/>
    <w:rsid w:val="00A446FF"/>
    <w:rsid w:val="00A53AF2"/>
    <w:rsid w:val="00A566C9"/>
    <w:rsid w:val="00A63004"/>
    <w:rsid w:val="00A66ABE"/>
    <w:rsid w:val="00A67201"/>
    <w:rsid w:val="00A71E6D"/>
    <w:rsid w:val="00A72418"/>
    <w:rsid w:val="00A73804"/>
    <w:rsid w:val="00A76D2C"/>
    <w:rsid w:val="00A846BB"/>
    <w:rsid w:val="00A85338"/>
    <w:rsid w:val="00A86628"/>
    <w:rsid w:val="00A87045"/>
    <w:rsid w:val="00A9121C"/>
    <w:rsid w:val="00A91284"/>
    <w:rsid w:val="00AA2F6F"/>
    <w:rsid w:val="00AA41B1"/>
    <w:rsid w:val="00AA7E94"/>
    <w:rsid w:val="00AB2635"/>
    <w:rsid w:val="00AB4C57"/>
    <w:rsid w:val="00AB5D8B"/>
    <w:rsid w:val="00AC12C5"/>
    <w:rsid w:val="00AC3804"/>
    <w:rsid w:val="00AC5D73"/>
    <w:rsid w:val="00AD0ECF"/>
    <w:rsid w:val="00AD1E9A"/>
    <w:rsid w:val="00AD4A87"/>
    <w:rsid w:val="00AD6E2A"/>
    <w:rsid w:val="00AD6FCE"/>
    <w:rsid w:val="00AE0555"/>
    <w:rsid w:val="00AE13C0"/>
    <w:rsid w:val="00AE52FA"/>
    <w:rsid w:val="00AE5FC2"/>
    <w:rsid w:val="00AF0658"/>
    <w:rsid w:val="00AF0920"/>
    <w:rsid w:val="00AF15B1"/>
    <w:rsid w:val="00AF2327"/>
    <w:rsid w:val="00AF3A3F"/>
    <w:rsid w:val="00AF4509"/>
    <w:rsid w:val="00AF507F"/>
    <w:rsid w:val="00AF5F94"/>
    <w:rsid w:val="00B04038"/>
    <w:rsid w:val="00B154A5"/>
    <w:rsid w:val="00B20C0F"/>
    <w:rsid w:val="00B20C81"/>
    <w:rsid w:val="00B21FB2"/>
    <w:rsid w:val="00B22940"/>
    <w:rsid w:val="00B2337A"/>
    <w:rsid w:val="00B26DBF"/>
    <w:rsid w:val="00B312F5"/>
    <w:rsid w:val="00B338F9"/>
    <w:rsid w:val="00B33E67"/>
    <w:rsid w:val="00B34F37"/>
    <w:rsid w:val="00B361FB"/>
    <w:rsid w:val="00B37833"/>
    <w:rsid w:val="00B4011B"/>
    <w:rsid w:val="00B414B5"/>
    <w:rsid w:val="00B451D7"/>
    <w:rsid w:val="00B546A8"/>
    <w:rsid w:val="00B549F1"/>
    <w:rsid w:val="00B566A9"/>
    <w:rsid w:val="00B60DF1"/>
    <w:rsid w:val="00B616A1"/>
    <w:rsid w:val="00B66584"/>
    <w:rsid w:val="00B66EF3"/>
    <w:rsid w:val="00B672E6"/>
    <w:rsid w:val="00B67411"/>
    <w:rsid w:val="00B72521"/>
    <w:rsid w:val="00B729E1"/>
    <w:rsid w:val="00B740AE"/>
    <w:rsid w:val="00B777CF"/>
    <w:rsid w:val="00B8329C"/>
    <w:rsid w:val="00B846B0"/>
    <w:rsid w:val="00B8512A"/>
    <w:rsid w:val="00B85D28"/>
    <w:rsid w:val="00B86660"/>
    <w:rsid w:val="00B92658"/>
    <w:rsid w:val="00B94CDC"/>
    <w:rsid w:val="00BA06C3"/>
    <w:rsid w:val="00BA20D8"/>
    <w:rsid w:val="00BA2FEE"/>
    <w:rsid w:val="00BA31D2"/>
    <w:rsid w:val="00BA75CD"/>
    <w:rsid w:val="00BA788A"/>
    <w:rsid w:val="00BB3EEE"/>
    <w:rsid w:val="00BC76F2"/>
    <w:rsid w:val="00BC786E"/>
    <w:rsid w:val="00BC7ED9"/>
    <w:rsid w:val="00BD75AC"/>
    <w:rsid w:val="00BD7E9A"/>
    <w:rsid w:val="00BE3FE4"/>
    <w:rsid w:val="00BF40C3"/>
    <w:rsid w:val="00BF5669"/>
    <w:rsid w:val="00BF6D1F"/>
    <w:rsid w:val="00BF70AC"/>
    <w:rsid w:val="00C13D80"/>
    <w:rsid w:val="00C175CA"/>
    <w:rsid w:val="00C2045C"/>
    <w:rsid w:val="00C20A6F"/>
    <w:rsid w:val="00C2341D"/>
    <w:rsid w:val="00C35565"/>
    <w:rsid w:val="00C415AF"/>
    <w:rsid w:val="00C53D86"/>
    <w:rsid w:val="00C55E3C"/>
    <w:rsid w:val="00C56A07"/>
    <w:rsid w:val="00C6157E"/>
    <w:rsid w:val="00C6356D"/>
    <w:rsid w:val="00C6507C"/>
    <w:rsid w:val="00C7099A"/>
    <w:rsid w:val="00C70CC0"/>
    <w:rsid w:val="00C71FAB"/>
    <w:rsid w:val="00C73781"/>
    <w:rsid w:val="00C74347"/>
    <w:rsid w:val="00C81C71"/>
    <w:rsid w:val="00C85D21"/>
    <w:rsid w:val="00C9491C"/>
    <w:rsid w:val="00C96A8A"/>
    <w:rsid w:val="00CA126E"/>
    <w:rsid w:val="00CA28CE"/>
    <w:rsid w:val="00CA4315"/>
    <w:rsid w:val="00CA55E8"/>
    <w:rsid w:val="00CB1E47"/>
    <w:rsid w:val="00CB372D"/>
    <w:rsid w:val="00CB42C3"/>
    <w:rsid w:val="00CB7EAD"/>
    <w:rsid w:val="00CC1F35"/>
    <w:rsid w:val="00CC27C8"/>
    <w:rsid w:val="00CC299C"/>
    <w:rsid w:val="00CC5B3A"/>
    <w:rsid w:val="00CC780E"/>
    <w:rsid w:val="00CD17BC"/>
    <w:rsid w:val="00CD3041"/>
    <w:rsid w:val="00CD3970"/>
    <w:rsid w:val="00CE16BD"/>
    <w:rsid w:val="00CE605E"/>
    <w:rsid w:val="00CF1E80"/>
    <w:rsid w:val="00CF1F8C"/>
    <w:rsid w:val="00CF6110"/>
    <w:rsid w:val="00D00445"/>
    <w:rsid w:val="00D14C5B"/>
    <w:rsid w:val="00D22C6A"/>
    <w:rsid w:val="00D24C2C"/>
    <w:rsid w:val="00D25149"/>
    <w:rsid w:val="00D25474"/>
    <w:rsid w:val="00D2668F"/>
    <w:rsid w:val="00D268A2"/>
    <w:rsid w:val="00D27607"/>
    <w:rsid w:val="00D30D8F"/>
    <w:rsid w:val="00D31249"/>
    <w:rsid w:val="00D346B9"/>
    <w:rsid w:val="00D43FD6"/>
    <w:rsid w:val="00D45324"/>
    <w:rsid w:val="00D46386"/>
    <w:rsid w:val="00D505F3"/>
    <w:rsid w:val="00D50A25"/>
    <w:rsid w:val="00D51723"/>
    <w:rsid w:val="00D73697"/>
    <w:rsid w:val="00D7637A"/>
    <w:rsid w:val="00D764A4"/>
    <w:rsid w:val="00D7716C"/>
    <w:rsid w:val="00D8032D"/>
    <w:rsid w:val="00D82F0E"/>
    <w:rsid w:val="00D84DA0"/>
    <w:rsid w:val="00D96018"/>
    <w:rsid w:val="00D974A5"/>
    <w:rsid w:val="00D97771"/>
    <w:rsid w:val="00DA27F0"/>
    <w:rsid w:val="00DA4066"/>
    <w:rsid w:val="00DB097D"/>
    <w:rsid w:val="00DB0A79"/>
    <w:rsid w:val="00DB7B03"/>
    <w:rsid w:val="00DC23A6"/>
    <w:rsid w:val="00DC30FC"/>
    <w:rsid w:val="00DC4B31"/>
    <w:rsid w:val="00DC4C3C"/>
    <w:rsid w:val="00DD35DB"/>
    <w:rsid w:val="00DE2491"/>
    <w:rsid w:val="00DE312B"/>
    <w:rsid w:val="00DE63CD"/>
    <w:rsid w:val="00DF1DE5"/>
    <w:rsid w:val="00DF596B"/>
    <w:rsid w:val="00E01AAD"/>
    <w:rsid w:val="00E02500"/>
    <w:rsid w:val="00E034E9"/>
    <w:rsid w:val="00E12AC2"/>
    <w:rsid w:val="00E155E1"/>
    <w:rsid w:val="00E15730"/>
    <w:rsid w:val="00E201CA"/>
    <w:rsid w:val="00E22EA2"/>
    <w:rsid w:val="00E26800"/>
    <w:rsid w:val="00E272D7"/>
    <w:rsid w:val="00E27A2D"/>
    <w:rsid w:val="00E302A1"/>
    <w:rsid w:val="00E30DC9"/>
    <w:rsid w:val="00E32CEA"/>
    <w:rsid w:val="00E37ACC"/>
    <w:rsid w:val="00E411A9"/>
    <w:rsid w:val="00E4358B"/>
    <w:rsid w:val="00E45150"/>
    <w:rsid w:val="00E451FA"/>
    <w:rsid w:val="00E45BC6"/>
    <w:rsid w:val="00E4642D"/>
    <w:rsid w:val="00E47269"/>
    <w:rsid w:val="00E56A2A"/>
    <w:rsid w:val="00E60A74"/>
    <w:rsid w:val="00E61FEF"/>
    <w:rsid w:val="00E63F7A"/>
    <w:rsid w:val="00E64CD2"/>
    <w:rsid w:val="00E65097"/>
    <w:rsid w:val="00E65D7F"/>
    <w:rsid w:val="00E71928"/>
    <w:rsid w:val="00E72CF3"/>
    <w:rsid w:val="00E74212"/>
    <w:rsid w:val="00E758BE"/>
    <w:rsid w:val="00E76827"/>
    <w:rsid w:val="00E80031"/>
    <w:rsid w:val="00E80967"/>
    <w:rsid w:val="00E80EB6"/>
    <w:rsid w:val="00E8106C"/>
    <w:rsid w:val="00E81B45"/>
    <w:rsid w:val="00E83B0F"/>
    <w:rsid w:val="00E8431F"/>
    <w:rsid w:val="00E85FCC"/>
    <w:rsid w:val="00E90DC1"/>
    <w:rsid w:val="00E911B7"/>
    <w:rsid w:val="00E92987"/>
    <w:rsid w:val="00E950D2"/>
    <w:rsid w:val="00EA0170"/>
    <w:rsid w:val="00EA1A6B"/>
    <w:rsid w:val="00EB5966"/>
    <w:rsid w:val="00EC56C7"/>
    <w:rsid w:val="00ED7934"/>
    <w:rsid w:val="00EE0841"/>
    <w:rsid w:val="00EE1A8C"/>
    <w:rsid w:val="00EE56AB"/>
    <w:rsid w:val="00EE6257"/>
    <w:rsid w:val="00EE68EA"/>
    <w:rsid w:val="00EE7F79"/>
    <w:rsid w:val="00EF7E87"/>
    <w:rsid w:val="00F0303C"/>
    <w:rsid w:val="00F04B9A"/>
    <w:rsid w:val="00F101AB"/>
    <w:rsid w:val="00F11A4A"/>
    <w:rsid w:val="00F14039"/>
    <w:rsid w:val="00F1786E"/>
    <w:rsid w:val="00F178E9"/>
    <w:rsid w:val="00F22F9B"/>
    <w:rsid w:val="00F24951"/>
    <w:rsid w:val="00F24C05"/>
    <w:rsid w:val="00F263B3"/>
    <w:rsid w:val="00F26462"/>
    <w:rsid w:val="00F26997"/>
    <w:rsid w:val="00F26F27"/>
    <w:rsid w:val="00F31B5E"/>
    <w:rsid w:val="00F37A52"/>
    <w:rsid w:val="00F41726"/>
    <w:rsid w:val="00F41F43"/>
    <w:rsid w:val="00F44F35"/>
    <w:rsid w:val="00F55EA2"/>
    <w:rsid w:val="00F56BE0"/>
    <w:rsid w:val="00F609DB"/>
    <w:rsid w:val="00F61229"/>
    <w:rsid w:val="00F615B3"/>
    <w:rsid w:val="00F62FB4"/>
    <w:rsid w:val="00F64CE5"/>
    <w:rsid w:val="00F676C2"/>
    <w:rsid w:val="00F72338"/>
    <w:rsid w:val="00F8014A"/>
    <w:rsid w:val="00F84273"/>
    <w:rsid w:val="00F90F86"/>
    <w:rsid w:val="00F9706B"/>
    <w:rsid w:val="00FA1C1B"/>
    <w:rsid w:val="00FB3FF2"/>
    <w:rsid w:val="00FB480A"/>
    <w:rsid w:val="00FC129D"/>
    <w:rsid w:val="00FC2544"/>
    <w:rsid w:val="00FC32CC"/>
    <w:rsid w:val="00FC43BB"/>
    <w:rsid w:val="00FC63E3"/>
    <w:rsid w:val="00FD3E88"/>
    <w:rsid w:val="00FD5FE0"/>
    <w:rsid w:val="00FE1194"/>
    <w:rsid w:val="00FE58D6"/>
    <w:rsid w:val="00FF00F0"/>
    <w:rsid w:val="00FF01BB"/>
    <w:rsid w:val="00FF2A5B"/>
    <w:rsid w:val="00FF5302"/>
    <w:rsid w:val="2ADE7A5B"/>
    <w:rsid w:val="F8EE233B"/>
    <w:rsid w:val="FF6E0C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qFormat/>
    <w:uiPriority w:val="0"/>
    <w:pPr>
      <w:jc w:val="left"/>
    </w:pPr>
  </w:style>
  <w:style w:type="paragraph" w:styleId="3">
    <w:name w:val="Body Text Indent"/>
    <w:basedOn w:val="1"/>
    <w:link w:val="14"/>
    <w:qFormat/>
    <w:uiPriority w:val="0"/>
    <w:pPr>
      <w:spacing w:line="240" w:lineRule="exact"/>
      <w:ind w:left="1050" w:leftChars="500"/>
    </w:pPr>
    <w:rPr>
      <w:rFonts w:ascii="Times New Roman" w:hAnsi="Times New Roman" w:eastAsia="宋体" w:cs="Times New Roman"/>
      <w:sz w:val="18"/>
    </w:rPr>
  </w:style>
  <w:style w:type="paragraph" w:styleId="4">
    <w:name w:val="footer"/>
    <w:basedOn w:val="1"/>
    <w:link w:val="12"/>
    <w:qFormat/>
    <w:uiPriority w:val="99"/>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6"/>
    <w:qFormat/>
    <w:uiPriority w:val="0"/>
    <w:rPr>
      <w:b/>
      <w:bCs/>
    </w:rPr>
  </w:style>
  <w:style w:type="table" w:styleId="8">
    <w:name w:val="Table Grid"/>
    <w:basedOn w:val="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annotation reference"/>
    <w:basedOn w:val="9"/>
    <w:qFormat/>
    <w:uiPriority w:val="0"/>
    <w:rPr>
      <w:sz w:val="21"/>
      <w:szCs w:val="21"/>
    </w:rPr>
  </w:style>
  <w:style w:type="character" w:customStyle="1" w:styleId="11">
    <w:name w:val="页眉 Char"/>
    <w:basedOn w:val="9"/>
    <w:link w:val="5"/>
    <w:qFormat/>
    <w:uiPriority w:val="0"/>
    <w:rPr>
      <w:rFonts w:asciiTheme="minorHAnsi" w:hAnsiTheme="minorHAnsi" w:eastAsiaTheme="minorEastAsia" w:cstheme="minorBidi"/>
      <w:kern w:val="2"/>
      <w:sz w:val="18"/>
      <w:szCs w:val="18"/>
    </w:rPr>
  </w:style>
  <w:style w:type="character" w:customStyle="1" w:styleId="12">
    <w:name w:val="页脚 Char"/>
    <w:basedOn w:val="9"/>
    <w:link w:val="4"/>
    <w:qFormat/>
    <w:uiPriority w:val="99"/>
    <w:rPr>
      <w:rFonts w:asciiTheme="minorHAnsi" w:hAnsiTheme="minorHAnsi" w:eastAsiaTheme="minorEastAsia" w:cstheme="minorBidi"/>
      <w:kern w:val="2"/>
      <w:sz w:val="18"/>
      <w:szCs w:val="18"/>
    </w:rPr>
  </w:style>
  <w:style w:type="paragraph" w:styleId="13">
    <w:name w:val="List Paragraph"/>
    <w:basedOn w:val="1"/>
    <w:qFormat/>
    <w:uiPriority w:val="99"/>
    <w:pPr>
      <w:ind w:firstLine="420" w:firstLineChars="200"/>
    </w:pPr>
  </w:style>
  <w:style w:type="character" w:customStyle="1" w:styleId="14">
    <w:name w:val="正文文本缩进 Char"/>
    <w:basedOn w:val="9"/>
    <w:link w:val="3"/>
    <w:qFormat/>
    <w:uiPriority w:val="0"/>
    <w:rPr>
      <w:kern w:val="2"/>
      <w:sz w:val="18"/>
      <w:szCs w:val="24"/>
    </w:rPr>
  </w:style>
  <w:style w:type="character" w:customStyle="1" w:styleId="15">
    <w:name w:val="批注文字 Char"/>
    <w:basedOn w:val="9"/>
    <w:link w:val="2"/>
    <w:qFormat/>
    <w:uiPriority w:val="0"/>
    <w:rPr>
      <w:rFonts w:asciiTheme="minorHAnsi" w:hAnsiTheme="minorHAnsi" w:eastAsiaTheme="minorEastAsia" w:cstheme="minorBidi"/>
      <w:kern w:val="2"/>
      <w:sz w:val="21"/>
      <w:szCs w:val="24"/>
    </w:rPr>
  </w:style>
  <w:style w:type="character" w:customStyle="1" w:styleId="16">
    <w:name w:val="批注主题 Char"/>
    <w:basedOn w:val="15"/>
    <w:link w:val="6"/>
    <w:qFormat/>
    <w:uiPriority w:val="0"/>
    <w:rPr>
      <w:rFonts w:asciiTheme="minorHAnsi" w:hAnsiTheme="minorHAnsi" w:eastAsiaTheme="minorEastAsia" w:cstheme="minorBidi"/>
      <w:b/>
      <w:bCs/>
      <w:kern w:val="2"/>
      <w:sz w:val="21"/>
      <w:szCs w:val="24"/>
    </w:rPr>
  </w:style>
  <w:style w:type="paragraph" w:customStyle="1" w:styleId="17">
    <w:name w:val="Revision"/>
    <w:hidden/>
    <w:semiHidden/>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4697</Words>
  <Characters>5565</Characters>
  <Lines>40</Lines>
  <Paragraphs>11</Paragraphs>
  <TotalTime>359</TotalTime>
  <ScaleCrop>false</ScaleCrop>
  <LinksUpToDate>false</LinksUpToDate>
  <CharactersWithSpaces>5572</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2024-11-01T00:30:00Z</dcterms:created>
  <dc:creator>Dumpling</dc:creator>
  <cp:lastModifiedBy>局办公室（公文审核）</cp:lastModifiedBy>
  <cp:lastPrinted>2025-10-27T18:45:00Z</cp:lastPrinted>
  <dcterms:modified xsi:type="dcterms:W3CDTF">2025-11-03T17:17:46Z</dcterms:modified>
  <cp:revision>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y fmtid="{D5CDD505-2E9C-101B-9397-08002B2CF9AE}" pid="3" name="ICV">
    <vt:lpwstr>DBDAA557E3AB4E19815F85778EA03EFE</vt:lpwstr>
  </property>
  <property fmtid="{D5CDD505-2E9C-101B-9397-08002B2CF9AE}" pid="4" name="KSOTemplateDocerSaveRecord">
    <vt:lpwstr>eyJoZGlkIjoiMzdhOWVmNTAwZjgyOGJmZWMwZmVmYWMzYzE4Y2NlNWMiLCJ1c2VySWQiOiI2MTE1MTI2ODIifQ==</vt:lpwstr>
  </property>
</Properties>
</file>