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71B" w:rsidRDefault="00CD241F" w:rsidP="0099084A">
      <w:pPr>
        <w:spacing w:line="580" w:lineRule="exact"/>
        <w:ind w:rightChars="11" w:right="23"/>
        <w:rPr>
          <w:rFonts w:ascii="仿宋_GB2312" w:eastAsia="仿宋_GB2312"/>
          <w:sz w:val="32"/>
          <w:szCs w:val="32"/>
        </w:rPr>
      </w:pPr>
      <w:r w:rsidRPr="00CD241F">
        <w:rPr>
          <w:noProof/>
        </w:rPr>
        <w:pict>
          <v:shapetype id="_x0000_t202" coordsize="21600,21600" o:spt="202" path="m,l,21600r21600,l21600,xe">
            <v:stroke joinstyle="miter"/>
            <v:path gradientshapeok="t" o:connecttype="rect"/>
          </v:shapetype>
          <v:shape id="_x0000_s1027" type="#_x0000_t202" style="position:absolute;left:0;text-align:left;margin-left:0;margin-top:-31.2pt;width:441pt;height:64.75pt;z-index:251657216" stroked="f">
            <v:textbox style="mso-next-textbox:#_x0000_s1027">
              <w:txbxContent>
                <w:p w:rsidR="0014271B" w:rsidRPr="009E5D6B" w:rsidRDefault="0014271B" w:rsidP="0077152E">
                  <w:pPr>
                    <w:jc w:val="distribute"/>
                    <w:rPr>
                      <w:rFonts w:ascii="方正小标宋简体" w:eastAsia="方正小标宋简体"/>
                      <w:color w:val="FF0000"/>
                      <w:sz w:val="72"/>
                      <w:szCs w:val="72"/>
                    </w:rPr>
                  </w:pPr>
                  <w:r w:rsidRPr="009E5D6B">
                    <w:rPr>
                      <w:rFonts w:ascii="方正小标宋简体" w:eastAsia="方正小标宋简体" w:cs="方正小标宋简体" w:hint="eastAsia"/>
                      <w:color w:val="FF0000"/>
                      <w:sz w:val="72"/>
                      <w:szCs w:val="72"/>
                    </w:rPr>
                    <w:t>广州市番禺区环境保护局</w:t>
                  </w:r>
                </w:p>
              </w:txbxContent>
            </v:textbox>
          </v:shape>
        </w:pict>
      </w:r>
      <w:r w:rsidRPr="00CD241F">
        <w:rPr>
          <w:noProof/>
        </w:rPr>
        <w:pict>
          <v:shape id="_x0000_s1028" type="#_x0000_t202" style="position:absolute;left:0;text-align:left;margin-left:5in;margin-top:-85.8pt;width:141.6pt;height:23.2pt;z-index:-251658240;mso-wrap-style:none" stroked="f">
            <v:textbox style="mso-next-textbox:#_x0000_s1028;mso-fit-shape-to-text:t">
              <w:txbxContent>
                <w:p w:rsidR="0014271B" w:rsidRPr="00261D87" w:rsidRDefault="0014271B" w:rsidP="00261D87"/>
              </w:txbxContent>
            </v:textbox>
            <w10:wrap type="square"/>
          </v:shape>
        </w:pict>
      </w:r>
      <w:r w:rsidRPr="00CD241F">
        <w:rPr>
          <w:noProof/>
        </w:rPr>
        <w:pict>
          <v:shape id="_x0000_s1029" type="#_x0000_t202" style="position:absolute;left:0;text-align:left;margin-left:5in;margin-top:-85.8pt;width:141.6pt;height:23.2pt;z-index:-251660288;mso-wrap-style:none" stroked="f">
            <v:textbox style="mso-next-textbox:#_x0000_s1029;mso-fit-shape-to-text:t">
              <w:txbxContent>
                <w:p w:rsidR="0014271B" w:rsidRPr="00706DC5" w:rsidRDefault="0014271B" w:rsidP="00706DC5"/>
              </w:txbxContent>
            </v:textbox>
            <w10:wrap type="square"/>
          </v:shape>
        </w:pict>
      </w:r>
      <w:r w:rsidR="0014271B">
        <w:rPr>
          <w:rFonts w:eastAsia="仿宋_GB2312"/>
          <w:sz w:val="32"/>
          <w:szCs w:val="32"/>
        </w:rPr>
        <w:t xml:space="preserve">                                          </w:t>
      </w:r>
    </w:p>
    <w:p w:rsidR="0014271B" w:rsidRDefault="00CD241F">
      <w:pPr>
        <w:spacing w:line="580" w:lineRule="exact"/>
        <w:ind w:right="11"/>
        <w:jc w:val="center"/>
        <w:rPr>
          <w:rFonts w:eastAsia="公文小标宋简"/>
          <w:sz w:val="44"/>
          <w:szCs w:val="44"/>
        </w:rPr>
      </w:pPr>
      <w:r w:rsidRPr="00CD241F">
        <w:rPr>
          <w:noProof/>
        </w:rPr>
        <w:pict>
          <v:line id="_x0000_s1030" style="position:absolute;left:0;text-align:left;z-index:251659264" from=".3pt,7.65pt" to="441.3pt,7.65pt" strokecolor="red" strokeweight="4.5pt">
            <v:stroke linestyle="thickThin"/>
          </v:line>
        </w:pict>
      </w:r>
    </w:p>
    <w:p w:rsidR="0014271B" w:rsidRPr="00DC1D0D" w:rsidRDefault="0014271B" w:rsidP="009C61E0">
      <w:pPr>
        <w:tabs>
          <w:tab w:val="left" w:pos="6804"/>
        </w:tabs>
        <w:spacing w:line="500" w:lineRule="exact"/>
        <w:jc w:val="right"/>
        <w:rPr>
          <w:rFonts w:ascii="仿宋_GB2312" w:eastAsia="仿宋_GB2312"/>
          <w:sz w:val="32"/>
          <w:szCs w:val="32"/>
        </w:rPr>
      </w:pPr>
      <w:r w:rsidRPr="00DC1D0D">
        <w:rPr>
          <w:rFonts w:ascii="仿宋_GB2312" w:eastAsia="仿宋_GB2312" w:cs="仿宋_GB2312" w:hint="eastAsia"/>
          <w:sz w:val="32"/>
          <w:szCs w:val="32"/>
        </w:rPr>
        <w:t>穗(番)环管影[2018]261号</w:t>
      </w:r>
    </w:p>
    <w:p w:rsidR="0014271B" w:rsidRDefault="0014271B" w:rsidP="0099084A">
      <w:pPr>
        <w:pStyle w:val="HTML"/>
        <w:autoSpaceDE w:val="0"/>
        <w:autoSpaceDN w:val="0"/>
        <w:adjustRightInd w:val="0"/>
        <w:spacing w:line="580" w:lineRule="exact"/>
        <w:ind w:firstLineChars="200" w:firstLine="640"/>
        <w:jc w:val="both"/>
        <w:rPr>
          <w:rFonts w:ascii="Times New Roman" w:eastAsia="仿宋_GB2312" w:hAnsi="Times New Roman" w:cs="Times New Roman"/>
          <w:sz w:val="32"/>
          <w:szCs w:val="32"/>
        </w:rPr>
      </w:pPr>
    </w:p>
    <w:p w:rsidR="0014271B" w:rsidRPr="00716C35" w:rsidRDefault="0014271B" w:rsidP="0099084A">
      <w:pPr>
        <w:pStyle w:val="HTML"/>
        <w:autoSpaceDE w:val="0"/>
        <w:autoSpaceDN w:val="0"/>
        <w:adjustRightInd w:val="0"/>
        <w:spacing w:line="580" w:lineRule="exact"/>
        <w:ind w:firstLineChars="200" w:firstLine="640"/>
        <w:jc w:val="both"/>
        <w:rPr>
          <w:rFonts w:ascii="Times New Roman" w:eastAsia="仿宋_GB2312" w:hAnsi="Times New Roman" w:cs="Times New Roman"/>
          <w:sz w:val="32"/>
          <w:szCs w:val="32"/>
        </w:rPr>
      </w:pPr>
    </w:p>
    <w:p w:rsidR="0014271B" w:rsidRPr="009976D9" w:rsidRDefault="00041A76" w:rsidP="0099084A">
      <w:pPr>
        <w:autoSpaceDE w:val="0"/>
        <w:autoSpaceDN w:val="0"/>
        <w:adjustRightInd w:val="0"/>
        <w:spacing w:line="580" w:lineRule="exact"/>
        <w:ind w:rightChars="11" w:right="23" w:firstLineChars="200" w:firstLine="640"/>
        <w:rPr>
          <w:rFonts w:ascii="仿宋_GB2312" w:eastAsia="仿宋_GB2312" w:cs="仿宋_GB2312"/>
          <w:sz w:val="32"/>
          <w:szCs w:val="32"/>
        </w:rPr>
      </w:pPr>
      <w:r>
        <w:rPr>
          <w:rFonts w:eastAsia="仿宋_GB2312"/>
          <w:sz w:val="32"/>
          <w:szCs w:val="32"/>
        </w:rPr>
        <w:t xml:space="preserve">                            </w:t>
      </w:r>
    </w:p>
    <w:p w:rsidR="00D55EF7" w:rsidRDefault="00041A76" w:rsidP="00D55EF7">
      <w:pPr>
        <w:spacing w:line="560" w:lineRule="exact"/>
        <w:jc w:val="center"/>
        <w:rPr>
          <w:rFonts w:ascii="公文小标宋简" w:eastAsia="公文小标宋简"/>
          <w:sz w:val="44"/>
          <w:szCs w:val="44"/>
        </w:rPr>
      </w:pPr>
      <w:r>
        <w:rPr>
          <w:rFonts w:ascii="公文小标宋简" w:eastAsia="公文小标宋简" w:hint="eastAsia"/>
          <w:sz w:val="44"/>
          <w:szCs w:val="44"/>
        </w:rPr>
        <w:t>广州市番禺区</w:t>
      </w:r>
      <w:r>
        <w:rPr>
          <w:rFonts w:ascii="宋体" w:hAnsi="宋体" w:cs="宋体" w:hint="eastAsia"/>
          <w:sz w:val="44"/>
          <w:szCs w:val="44"/>
        </w:rPr>
        <w:t>环</w:t>
      </w:r>
      <w:r>
        <w:rPr>
          <w:rFonts w:ascii="MS Mincho" w:eastAsia="MS Mincho" w:hAnsi="MS Mincho" w:cs="MS Mincho" w:hint="eastAsia"/>
          <w:sz w:val="44"/>
          <w:szCs w:val="44"/>
        </w:rPr>
        <w:t>境保</w:t>
      </w:r>
      <w:r>
        <w:rPr>
          <w:rFonts w:ascii="宋体" w:hAnsi="宋体" w:cs="宋体" w:hint="eastAsia"/>
          <w:sz w:val="44"/>
          <w:szCs w:val="44"/>
        </w:rPr>
        <w:t>护</w:t>
      </w:r>
      <w:r>
        <w:rPr>
          <w:rFonts w:ascii="MS Mincho" w:eastAsia="MS Mincho" w:hAnsi="MS Mincho" w:cs="MS Mincho" w:hint="eastAsia"/>
          <w:sz w:val="44"/>
          <w:szCs w:val="44"/>
        </w:rPr>
        <w:t>局关于广州盈</w:t>
      </w:r>
      <w:r>
        <w:rPr>
          <w:rFonts w:ascii="宋体" w:hAnsi="宋体" w:cs="宋体" w:hint="eastAsia"/>
          <w:sz w:val="44"/>
          <w:szCs w:val="44"/>
        </w:rPr>
        <w:t>锐</w:t>
      </w:r>
      <w:r>
        <w:rPr>
          <w:rFonts w:ascii="MS Mincho" w:eastAsia="MS Mincho" w:hAnsi="MS Mincho" w:cs="MS Mincho" w:hint="eastAsia"/>
          <w:sz w:val="44"/>
          <w:szCs w:val="44"/>
        </w:rPr>
        <w:t>粉末涂料有限公司年</w:t>
      </w:r>
      <w:r>
        <w:rPr>
          <w:rFonts w:ascii="宋体" w:hAnsi="宋体" w:cs="宋体" w:hint="eastAsia"/>
          <w:sz w:val="44"/>
          <w:szCs w:val="44"/>
        </w:rPr>
        <w:t>产</w:t>
      </w:r>
      <w:r>
        <w:rPr>
          <w:rFonts w:ascii="MS Mincho" w:eastAsia="MS Mincho" w:hAnsi="MS Mincho" w:cs="MS Mincho" w:hint="eastAsia"/>
          <w:sz w:val="44"/>
          <w:szCs w:val="44"/>
        </w:rPr>
        <w:t>塑料粉末</w:t>
      </w:r>
      <w:r>
        <w:rPr>
          <w:rFonts w:ascii="MS Mincho" w:eastAsiaTheme="minorEastAsia" w:hAnsi="MS Mincho" w:cs="MS Mincho" w:hint="eastAsia"/>
          <w:sz w:val="44"/>
          <w:szCs w:val="44"/>
        </w:rPr>
        <w:t>涂料</w:t>
      </w:r>
      <w:r>
        <w:rPr>
          <w:rFonts w:ascii="公文小标宋简" w:eastAsia="公文小标宋简" w:hint="eastAsia"/>
          <w:sz w:val="44"/>
          <w:szCs w:val="44"/>
        </w:rPr>
        <w:t>200</w:t>
      </w:r>
      <w:r>
        <w:rPr>
          <w:rFonts w:ascii="公文小标宋简" w:eastAsia="公文小标宋简" w:hint="eastAsia"/>
          <w:sz w:val="44"/>
          <w:szCs w:val="44"/>
        </w:rPr>
        <w:t>吨建</w:t>
      </w:r>
      <w:r>
        <w:rPr>
          <w:rFonts w:ascii="宋体" w:hAnsi="宋体" w:cs="宋体" w:hint="eastAsia"/>
          <w:sz w:val="44"/>
          <w:szCs w:val="44"/>
        </w:rPr>
        <w:t>设项</w:t>
      </w:r>
      <w:r>
        <w:rPr>
          <w:rFonts w:ascii="MS Mincho" w:eastAsia="MS Mincho" w:hAnsi="MS Mincho" w:cs="MS Mincho" w:hint="eastAsia"/>
          <w:sz w:val="44"/>
          <w:szCs w:val="44"/>
        </w:rPr>
        <w:t>目</w:t>
      </w:r>
      <w:r>
        <w:rPr>
          <w:rFonts w:ascii="宋体" w:hAnsi="宋体" w:cs="宋体" w:hint="eastAsia"/>
          <w:sz w:val="44"/>
          <w:szCs w:val="44"/>
        </w:rPr>
        <w:t>环</w:t>
      </w:r>
      <w:r>
        <w:rPr>
          <w:rFonts w:ascii="MS Mincho" w:eastAsia="MS Mincho" w:hAnsi="MS Mincho" w:cs="MS Mincho" w:hint="eastAsia"/>
          <w:sz w:val="44"/>
          <w:szCs w:val="44"/>
        </w:rPr>
        <w:t>境影响</w:t>
      </w:r>
      <w:r>
        <w:rPr>
          <w:rFonts w:ascii="宋体" w:hAnsi="宋体" w:cs="宋体" w:hint="eastAsia"/>
          <w:sz w:val="44"/>
          <w:szCs w:val="44"/>
        </w:rPr>
        <w:t>报</w:t>
      </w:r>
      <w:r>
        <w:rPr>
          <w:rFonts w:ascii="MS Mincho" w:eastAsia="MS Mincho" w:hAnsi="MS Mincho" w:cs="MS Mincho" w:hint="eastAsia"/>
          <w:sz w:val="44"/>
          <w:szCs w:val="44"/>
        </w:rPr>
        <w:t>告表的批</w:t>
      </w:r>
      <w:r>
        <w:rPr>
          <w:rFonts w:ascii="公文小标宋简" w:eastAsia="公文小标宋简" w:hint="eastAsia"/>
          <w:sz w:val="44"/>
          <w:szCs w:val="44"/>
        </w:rPr>
        <w:t>复</w:t>
      </w:r>
    </w:p>
    <w:p w:rsidR="00032A30" w:rsidRPr="00D55EF7" w:rsidRDefault="00041A76" w:rsidP="00D55EF7">
      <w:pPr>
        <w:tabs>
          <w:tab w:val="left" w:pos="6804"/>
        </w:tabs>
        <w:autoSpaceDE w:val="0"/>
        <w:autoSpaceDN w:val="0"/>
        <w:adjustRightInd w:val="0"/>
        <w:spacing w:line="560" w:lineRule="exact"/>
        <w:ind w:firstLineChars="200" w:firstLine="640"/>
        <w:jc w:val="right"/>
        <w:rPr>
          <w:rFonts w:eastAsia="仿宋_GB2312"/>
          <w:sz w:val="32"/>
          <w:szCs w:val="32"/>
        </w:rPr>
      </w:pPr>
    </w:p>
    <w:p w:rsidR="00032A30" w:rsidRPr="009976D9" w:rsidRDefault="00041A76">
      <w:pPr>
        <w:autoSpaceDE w:val="0"/>
        <w:autoSpaceDN w:val="0"/>
        <w:adjustRightInd w:val="0"/>
        <w:spacing w:line="600" w:lineRule="exact"/>
        <w:rPr>
          <w:rFonts w:eastAsia="仿宋_GB2312"/>
          <w:sz w:val="32"/>
          <w:szCs w:val="32"/>
        </w:rPr>
      </w:pPr>
      <w:r w:rsidRPr="009976D9">
        <w:rPr>
          <w:rFonts w:eastAsia="仿宋_GB2312" w:cs="仿宋_GB2312" w:hint="eastAsia"/>
          <w:sz w:val="32"/>
          <w:szCs w:val="32"/>
        </w:rPr>
        <w:t>广州盈锐粉末涂料有限公司</w:t>
      </w:r>
      <w:r w:rsidRPr="009976D9">
        <w:rPr>
          <w:rFonts w:eastAsia="仿宋_GB2312" w:cs="仿宋_GB2312" w:hint="eastAsia"/>
          <w:sz w:val="32"/>
          <w:szCs w:val="32"/>
        </w:rPr>
        <w:t>:</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你单位报送的《广州盈锐粉末涂料有限公司年产塑料粉末</w:t>
      </w:r>
      <w:r>
        <w:rPr>
          <w:rFonts w:ascii="仿宋_GB2312" w:eastAsia="仿宋_GB2312" w:hint="eastAsia"/>
          <w:sz w:val="32"/>
          <w:szCs w:val="32"/>
        </w:rPr>
        <w:t>涂料</w:t>
      </w:r>
      <w:r>
        <w:rPr>
          <w:rFonts w:ascii="仿宋_GB2312" w:eastAsia="仿宋_GB2312" w:hint="eastAsia"/>
          <w:sz w:val="32"/>
          <w:szCs w:val="32"/>
        </w:rPr>
        <w:t>200</w:t>
      </w:r>
      <w:r>
        <w:rPr>
          <w:rFonts w:ascii="仿宋_GB2312" w:eastAsia="仿宋_GB2312" w:hint="eastAsia"/>
          <w:sz w:val="32"/>
          <w:szCs w:val="32"/>
        </w:rPr>
        <w:t>吨建设项目环境影响报告表》（以下简称“《报告表》”）及附送资料收悉。经研究，现批复如下：</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一、广州盈锐粉末涂料有限公司年产塑料粉末</w:t>
      </w:r>
      <w:r>
        <w:rPr>
          <w:rFonts w:ascii="仿宋_GB2312" w:eastAsia="仿宋_GB2312" w:hint="eastAsia"/>
          <w:sz w:val="32"/>
          <w:szCs w:val="32"/>
        </w:rPr>
        <w:t>涂料</w:t>
      </w:r>
      <w:r>
        <w:rPr>
          <w:rFonts w:ascii="仿宋_GB2312" w:eastAsia="仿宋_GB2312" w:hint="eastAsia"/>
          <w:sz w:val="32"/>
          <w:szCs w:val="32"/>
        </w:rPr>
        <w:t>200</w:t>
      </w:r>
      <w:r>
        <w:rPr>
          <w:rFonts w:ascii="仿宋_GB2312" w:eastAsia="仿宋_GB2312" w:hint="eastAsia"/>
          <w:sz w:val="32"/>
          <w:szCs w:val="32"/>
        </w:rPr>
        <w:t>吨建设项目（以下简称“该项目”）位于广州市番禺区大龙街傍江东村江城路</w:t>
      </w:r>
      <w:r>
        <w:rPr>
          <w:rFonts w:ascii="仿宋_GB2312" w:eastAsia="仿宋_GB2312" w:hint="eastAsia"/>
          <w:sz w:val="32"/>
          <w:szCs w:val="32"/>
        </w:rPr>
        <w:t>34</w:t>
      </w:r>
      <w:r>
        <w:rPr>
          <w:rFonts w:ascii="仿宋_GB2312" w:eastAsia="仿宋_GB2312" w:hint="eastAsia"/>
          <w:sz w:val="32"/>
          <w:szCs w:val="32"/>
        </w:rPr>
        <w:t>号</w:t>
      </w:r>
      <w:r>
        <w:rPr>
          <w:rFonts w:ascii="仿宋_GB2312" w:eastAsia="仿宋_GB2312" w:hint="eastAsia"/>
          <w:sz w:val="32"/>
          <w:szCs w:val="32"/>
        </w:rPr>
        <w:t>A</w:t>
      </w:r>
      <w:r>
        <w:rPr>
          <w:rFonts w:ascii="仿宋_GB2312" w:eastAsia="仿宋_GB2312" w:hint="eastAsia"/>
          <w:sz w:val="32"/>
          <w:szCs w:val="32"/>
        </w:rPr>
        <w:t>栋</w:t>
      </w:r>
      <w:r>
        <w:rPr>
          <w:rFonts w:ascii="仿宋_GB2312" w:eastAsia="仿宋_GB2312" w:hint="eastAsia"/>
          <w:sz w:val="32"/>
          <w:szCs w:val="32"/>
        </w:rPr>
        <w:t>B10</w:t>
      </w:r>
      <w:r>
        <w:rPr>
          <w:rFonts w:ascii="仿宋_GB2312" w:eastAsia="仿宋_GB2312" w:hint="eastAsia"/>
          <w:sz w:val="32"/>
          <w:szCs w:val="32"/>
        </w:rPr>
        <w:t>，申报内容为年产塑料粉末涂料</w:t>
      </w:r>
      <w:r>
        <w:rPr>
          <w:rFonts w:ascii="仿宋_GB2312" w:eastAsia="仿宋_GB2312" w:hint="eastAsia"/>
          <w:sz w:val="32"/>
          <w:szCs w:val="32"/>
        </w:rPr>
        <w:t>200</w:t>
      </w:r>
      <w:r>
        <w:rPr>
          <w:rFonts w:ascii="仿宋_GB2312" w:eastAsia="仿宋_GB2312" w:hint="eastAsia"/>
          <w:sz w:val="32"/>
          <w:szCs w:val="32"/>
        </w:rPr>
        <w:t>吨。该项目占地面积</w:t>
      </w:r>
      <w:r>
        <w:rPr>
          <w:rFonts w:ascii="仿宋_GB2312" w:eastAsia="仿宋_GB2312" w:hint="eastAsia"/>
          <w:sz w:val="32"/>
          <w:szCs w:val="32"/>
        </w:rPr>
        <w:t>1500</w:t>
      </w:r>
      <w:r>
        <w:rPr>
          <w:rFonts w:ascii="仿宋_GB2312" w:eastAsia="仿宋_GB2312" w:hint="eastAsia"/>
          <w:sz w:val="32"/>
          <w:szCs w:val="32"/>
        </w:rPr>
        <w:t>平方米，总建筑面积</w:t>
      </w:r>
      <w:r>
        <w:rPr>
          <w:rFonts w:ascii="仿宋_GB2312" w:eastAsia="仿宋_GB2312" w:hint="eastAsia"/>
          <w:sz w:val="32"/>
          <w:szCs w:val="32"/>
        </w:rPr>
        <w:t>1500</w:t>
      </w:r>
      <w:r>
        <w:rPr>
          <w:rFonts w:ascii="仿宋_GB2312" w:eastAsia="仿宋_GB2312" w:hint="eastAsia"/>
          <w:sz w:val="32"/>
          <w:szCs w:val="32"/>
        </w:rPr>
        <w:t>平方米，主要建筑物有</w:t>
      </w:r>
      <w:r>
        <w:rPr>
          <w:rFonts w:ascii="仿宋_GB2312" w:eastAsia="仿宋_GB2312" w:hint="eastAsia"/>
          <w:sz w:val="32"/>
          <w:szCs w:val="32"/>
        </w:rPr>
        <w:t>1</w:t>
      </w:r>
      <w:r>
        <w:rPr>
          <w:rFonts w:ascii="仿宋_GB2312" w:eastAsia="仿宋_GB2312" w:hint="eastAsia"/>
          <w:sz w:val="32"/>
          <w:szCs w:val="32"/>
        </w:rPr>
        <w:t>栋单层厂房；主要设备有混料机</w:t>
      </w:r>
      <w:r>
        <w:rPr>
          <w:rFonts w:ascii="仿宋_GB2312" w:eastAsia="仿宋_GB2312" w:hint="eastAsia"/>
          <w:sz w:val="32"/>
          <w:szCs w:val="32"/>
        </w:rPr>
        <w:t>5</w:t>
      </w:r>
      <w:r>
        <w:rPr>
          <w:rFonts w:ascii="仿宋_GB2312" w:eastAsia="仿宋_GB2312" w:hint="eastAsia"/>
          <w:sz w:val="32"/>
          <w:szCs w:val="32"/>
        </w:rPr>
        <w:t>台、挤出机</w:t>
      </w:r>
      <w:r>
        <w:rPr>
          <w:rFonts w:ascii="仿宋_GB2312" w:eastAsia="仿宋_GB2312" w:hint="eastAsia"/>
          <w:sz w:val="32"/>
          <w:szCs w:val="32"/>
        </w:rPr>
        <w:t>5</w:t>
      </w:r>
      <w:r>
        <w:rPr>
          <w:rFonts w:ascii="仿宋_GB2312" w:eastAsia="仿宋_GB2312" w:hint="eastAsia"/>
          <w:sz w:val="32"/>
          <w:szCs w:val="32"/>
        </w:rPr>
        <w:t>台、压片机</w:t>
      </w:r>
      <w:r>
        <w:rPr>
          <w:rFonts w:ascii="仿宋_GB2312" w:eastAsia="仿宋_GB2312" w:hint="eastAsia"/>
          <w:sz w:val="32"/>
          <w:szCs w:val="32"/>
        </w:rPr>
        <w:t>5</w:t>
      </w:r>
      <w:r>
        <w:rPr>
          <w:rFonts w:ascii="仿宋_GB2312" w:eastAsia="仿宋_GB2312" w:hint="eastAsia"/>
          <w:sz w:val="32"/>
          <w:szCs w:val="32"/>
        </w:rPr>
        <w:t>台、磨粉机</w:t>
      </w:r>
      <w:r>
        <w:rPr>
          <w:rFonts w:ascii="仿宋_GB2312" w:eastAsia="仿宋_GB2312" w:hint="eastAsia"/>
          <w:sz w:val="32"/>
          <w:szCs w:val="32"/>
        </w:rPr>
        <w:t>5</w:t>
      </w:r>
      <w:r>
        <w:rPr>
          <w:rFonts w:ascii="仿宋_GB2312" w:eastAsia="仿宋_GB2312" w:hint="eastAsia"/>
          <w:sz w:val="32"/>
          <w:szCs w:val="32"/>
        </w:rPr>
        <w:t>台、空压机</w:t>
      </w:r>
      <w:r>
        <w:rPr>
          <w:rFonts w:ascii="仿宋_GB2312" w:eastAsia="仿宋_GB2312" w:hint="eastAsia"/>
          <w:sz w:val="32"/>
          <w:szCs w:val="32"/>
        </w:rPr>
        <w:t>1</w:t>
      </w:r>
      <w:r>
        <w:rPr>
          <w:rFonts w:ascii="仿宋_GB2312" w:eastAsia="仿宋_GB2312" w:hint="eastAsia"/>
          <w:sz w:val="32"/>
          <w:szCs w:val="32"/>
        </w:rPr>
        <w:t>台、冷却塔</w:t>
      </w:r>
      <w:r>
        <w:rPr>
          <w:rFonts w:ascii="仿宋_GB2312" w:eastAsia="仿宋_GB2312" w:hint="eastAsia"/>
          <w:sz w:val="32"/>
          <w:szCs w:val="32"/>
        </w:rPr>
        <w:t>2</w:t>
      </w:r>
      <w:r>
        <w:rPr>
          <w:rFonts w:ascii="仿宋_GB2312" w:eastAsia="仿宋_GB2312" w:hint="eastAsia"/>
          <w:sz w:val="32"/>
          <w:szCs w:val="32"/>
        </w:rPr>
        <w:t>台；员工</w:t>
      </w:r>
      <w:r>
        <w:rPr>
          <w:rFonts w:ascii="仿宋_GB2312" w:eastAsia="仿宋_GB2312" w:hint="eastAsia"/>
          <w:sz w:val="32"/>
          <w:szCs w:val="32"/>
        </w:rPr>
        <w:t>10</w:t>
      </w:r>
      <w:r>
        <w:rPr>
          <w:rFonts w:ascii="仿宋_GB2312" w:eastAsia="仿宋_GB2312" w:hint="eastAsia"/>
          <w:sz w:val="32"/>
          <w:szCs w:val="32"/>
        </w:rPr>
        <w:t>名，内部不安排食宿</w:t>
      </w:r>
      <w:r>
        <w:rPr>
          <w:rFonts w:ascii="仿宋_GB2312" w:eastAsia="仿宋_GB2312" w:hint="eastAsia"/>
          <w:sz w:val="32"/>
          <w:szCs w:val="32"/>
        </w:rPr>
        <w:t>。</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按照《报告表》的评价结论，在落实各项环境保护措施后，</w:t>
      </w:r>
      <w:r>
        <w:rPr>
          <w:rFonts w:ascii="仿宋_GB2312" w:eastAsia="仿宋_GB2312" w:hint="eastAsia"/>
          <w:sz w:val="32"/>
          <w:szCs w:val="32"/>
        </w:rPr>
        <w:lastRenderedPageBreak/>
        <w:t>该项目产生的污染物及不良环境影响能够得到有效控制，从环境保护角度，在拟选址处建设可行。经审查，我局原则同意《报告表》评价结论。该项目应当按照《报告表》所述性质、规模、地点、生产工艺和环境保护措施进行建设。</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二、该项目各类污染物排放控制要求如下：</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（一）污水排放未能纳入前锋净水厂处理时</w:t>
      </w:r>
      <w:r>
        <w:rPr>
          <w:rFonts w:ascii="仿宋_GB2312" w:eastAsia="仿宋_GB2312" w:hint="eastAsia"/>
          <w:sz w:val="32"/>
          <w:szCs w:val="32"/>
        </w:rPr>
        <w:t>，水污染物排放</w:t>
      </w:r>
      <w:r>
        <w:rPr>
          <w:rFonts w:ascii="仿宋_GB2312" w:eastAsia="仿宋_GB2312" w:hint="eastAsia"/>
          <w:sz w:val="32"/>
          <w:szCs w:val="32"/>
        </w:rPr>
        <w:t>执行广东省《水污染物排放限值》（</w:t>
      </w:r>
      <w:r>
        <w:rPr>
          <w:rFonts w:ascii="仿宋_GB2312" w:eastAsia="仿宋_GB2312" w:hint="eastAsia"/>
          <w:sz w:val="32"/>
          <w:szCs w:val="32"/>
        </w:rPr>
        <w:t>DB44/26-2001</w:t>
      </w:r>
      <w:r>
        <w:rPr>
          <w:rFonts w:ascii="仿宋_GB2312" w:eastAsia="仿宋_GB2312" w:hint="eastAsia"/>
          <w:sz w:val="32"/>
          <w:szCs w:val="32"/>
        </w:rPr>
        <w:t>）第二时段二级标准，纳入前锋净水厂处理时执行广东省《水污染物排放限值》（</w:t>
      </w:r>
      <w:r>
        <w:rPr>
          <w:rFonts w:ascii="仿宋_GB2312" w:eastAsia="仿宋_GB2312" w:hint="eastAsia"/>
          <w:sz w:val="32"/>
          <w:szCs w:val="32"/>
        </w:rPr>
        <w:t>DB44/26-2001</w:t>
      </w:r>
      <w:r>
        <w:rPr>
          <w:rFonts w:ascii="仿宋_GB2312" w:eastAsia="仿宋_GB2312" w:hint="eastAsia"/>
          <w:sz w:val="32"/>
          <w:szCs w:val="32"/>
        </w:rPr>
        <w:t>）第二</w:t>
      </w:r>
      <w:r>
        <w:rPr>
          <w:rFonts w:ascii="仿宋_GB2312" w:eastAsia="仿宋_GB2312" w:hint="eastAsia"/>
          <w:sz w:val="32"/>
          <w:szCs w:val="32"/>
        </w:rPr>
        <w:t>时段三级标准。生活污水排放量不超过</w:t>
      </w:r>
      <w:r>
        <w:rPr>
          <w:rFonts w:ascii="仿宋_GB2312" w:eastAsia="仿宋_GB2312" w:hint="eastAsia"/>
          <w:sz w:val="32"/>
          <w:szCs w:val="32"/>
        </w:rPr>
        <w:t>0.36</w:t>
      </w:r>
      <w:r>
        <w:rPr>
          <w:rFonts w:ascii="仿宋_GB2312" w:eastAsia="仿宋_GB2312" w:hint="eastAsia"/>
          <w:sz w:val="32"/>
          <w:szCs w:val="32"/>
        </w:rPr>
        <w:t>吨</w:t>
      </w:r>
      <w:r>
        <w:rPr>
          <w:rFonts w:ascii="仿宋_GB2312" w:eastAsia="仿宋_GB2312" w:hint="eastAsia"/>
          <w:sz w:val="32"/>
          <w:szCs w:val="32"/>
        </w:rPr>
        <w:t>/</w:t>
      </w:r>
      <w:r>
        <w:rPr>
          <w:rFonts w:ascii="仿宋_GB2312" w:eastAsia="仿宋_GB2312" w:hint="eastAsia"/>
          <w:sz w:val="32"/>
          <w:szCs w:val="32"/>
        </w:rPr>
        <w:t>日。</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（二）大气污</w:t>
      </w:r>
      <w:r>
        <w:rPr>
          <w:rFonts w:ascii="仿宋_GB2312" w:eastAsia="仿宋_GB2312" w:hAnsi="宋体" w:cs="宋体" w:hint="eastAsia"/>
          <w:sz w:val="32"/>
          <w:szCs w:val="32"/>
        </w:rPr>
        <w:t>染物</w:t>
      </w:r>
      <w:r>
        <w:rPr>
          <w:rFonts w:ascii="仿宋_GB2312" w:eastAsia="仿宋_GB2312" w:hint="eastAsia"/>
          <w:sz w:val="32"/>
          <w:szCs w:val="32"/>
        </w:rPr>
        <w:t>排放执行《合成树脂工业污染物排放标准》（</w:t>
      </w:r>
      <w:r>
        <w:rPr>
          <w:rFonts w:ascii="仿宋_GB2312" w:eastAsia="仿宋_GB2312" w:hint="eastAsia"/>
          <w:sz w:val="32"/>
          <w:szCs w:val="32"/>
        </w:rPr>
        <w:t>GB31572-2015</w:t>
      </w:r>
      <w:r>
        <w:rPr>
          <w:rFonts w:ascii="仿宋_GB2312" w:eastAsia="仿宋_GB2312" w:hint="eastAsia"/>
          <w:sz w:val="32"/>
          <w:szCs w:val="32"/>
        </w:rPr>
        <w:t>）表</w:t>
      </w:r>
      <w:r>
        <w:rPr>
          <w:rFonts w:ascii="仿宋_GB2312" w:eastAsia="仿宋_GB2312" w:hint="eastAsia"/>
          <w:sz w:val="32"/>
          <w:szCs w:val="32"/>
        </w:rPr>
        <w:t>4</w:t>
      </w:r>
      <w:r>
        <w:rPr>
          <w:rFonts w:ascii="仿宋_GB2312" w:eastAsia="仿宋_GB2312" w:hint="eastAsia"/>
          <w:sz w:val="32"/>
          <w:szCs w:val="32"/>
        </w:rPr>
        <w:t>、表</w:t>
      </w:r>
      <w:r>
        <w:rPr>
          <w:rFonts w:ascii="仿宋_GB2312" w:eastAsia="仿宋_GB2312" w:hint="eastAsia"/>
          <w:sz w:val="32"/>
          <w:szCs w:val="32"/>
        </w:rPr>
        <w:t>9</w:t>
      </w:r>
      <w:r>
        <w:rPr>
          <w:rFonts w:ascii="仿宋_GB2312" w:eastAsia="仿宋_GB2312" w:hint="eastAsia"/>
          <w:sz w:val="32"/>
          <w:szCs w:val="32"/>
        </w:rPr>
        <w:t>大气污染物排放限值。</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（三）边界噪声排放执行《工业企业厂界环境噪声排放标准》（</w:t>
      </w:r>
      <w:r>
        <w:rPr>
          <w:rFonts w:ascii="仿宋_GB2312" w:eastAsia="仿宋_GB2312" w:hint="eastAsia"/>
          <w:sz w:val="32"/>
          <w:szCs w:val="32"/>
        </w:rPr>
        <w:t>GB12348-2008</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类区限值，即：昼间≤</w:t>
      </w:r>
      <w:r>
        <w:rPr>
          <w:rFonts w:ascii="仿宋_GB2312" w:eastAsia="仿宋_GB2312" w:hint="eastAsia"/>
          <w:sz w:val="32"/>
          <w:szCs w:val="32"/>
        </w:rPr>
        <w:t>60</w:t>
      </w:r>
      <w:r>
        <w:rPr>
          <w:rFonts w:ascii="仿宋_GB2312" w:eastAsia="仿宋_GB2312" w:hint="eastAsia"/>
          <w:sz w:val="32"/>
          <w:szCs w:val="32"/>
        </w:rPr>
        <w:t>分贝，夜间≤</w:t>
      </w:r>
      <w:r>
        <w:rPr>
          <w:rFonts w:ascii="仿宋_GB2312" w:eastAsia="仿宋_GB2312" w:hint="eastAsia"/>
          <w:sz w:val="32"/>
          <w:szCs w:val="32"/>
        </w:rPr>
        <w:t>50</w:t>
      </w:r>
      <w:r>
        <w:rPr>
          <w:rFonts w:ascii="仿宋_GB2312" w:eastAsia="仿宋_GB2312" w:hint="eastAsia"/>
          <w:sz w:val="32"/>
          <w:szCs w:val="32"/>
        </w:rPr>
        <w:t>分贝。</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三、该项目应当认真落实《报告表》提出的各项环境保护措施，重点做好以下工作：</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（一）雨污分流，市政管网完善后，生活污水排入市政集污管网，送前锋净水厂处理。项目设置污水排放口</w:t>
      </w:r>
      <w:r>
        <w:rPr>
          <w:rFonts w:ascii="仿宋_GB2312" w:eastAsia="仿宋_GB2312" w:hint="eastAsia"/>
          <w:sz w:val="32"/>
          <w:szCs w:val="32"/>
        </w:rPr>
        <w:t>1</w:t>
      </w:r>
      <w:r>
        <w:rPr>
          <w:rFonts w:ascii="仿宋_GB2312" w:eastAsia="仿宋_GB2312" w:hint="eastAsia"/>
          <w:sz w:val="32"/>
          <w:szCs w:val="32"/>
        </w:rPr>
        <w:t>个。</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（二）生产线（含混料机、挤出机、压片</w:t>
      </w:r>
      <w:r>
        <w:rPr>
          <w:rFonts w:ascii="仿宋_GB2312" w:eastAsia="仿宋_GB2312" w:hint="eastAsia"/>
          <w:sz w:val="32"/>
          <w:szCs w:val="32"/>
        </w:rPr>
        <w:t>机、磨粉机）设置</w:t>
      </w:r>
      <w:r>
        <w:rPr>
          <w:rFonts w:ascii="仿宋_GB2312" w:eastAsia="仿宋_GB2312" w:hint="eastAsia"/>
          <w:sz w:val="32"/>
          <w:szCs w:val="32"/>
        </w:rPr>
        <w:lastRenderedPageBreak/>
        <w:t>在相对密闭车间，产生的废气收集后经脉冲布袋除尘装置和活性炭吸附装置处理，处理达标后引至厂房楼顶</w:t>
      </w:r>
      <w:r>
        <w:rPr>
          <w:rFonts w:ascii="仿宋_GB2312" w:eastAsia="仿宋_GB2312" w:hint="eastAsia"/>
          <w:sz w:val="32"/>
          <w:szCs w:val="32"/>
        </w:rPr>
        <w:t>高空</w:t>
      </w:r>
      <w:r>
        <w:rPr>
          <w:rFonts w:ascii="仿宋_GB2312" w:eastAsia="仿宋_GB2312" w:hint="eastAsia"/>
          <w:sz w:val="32"/>
          <w:szCs w:val="32"/>
        </w:rPr>
        <w:t>排放。项目设置废气排放口</w:t>
      </w:r>
      <w:r>
        <w:rPr>
          <w:rFonts w:ascii="仿宋_GB2312" w:eastAsia="仿宋_GB2312" w:hint="eastAsia"/>
          <w:sz w:val="32"/>
          <w:szCs w:val="32"/>
        </w:rPr>
        <w:t>1</w:t>
      </w:r>
      <w:r>
        <w:rPr>
          <w:rFonts w:ascii="仿宋_GB2312" w:eastAsia="仿宋_GB2312" w:hint="eastAsia"/>
          <w:sz w:val="32"/>
          <w:szCs w:val="32"/>
        </w:rPr>
        <w:t>个。</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（三）选用低噪声设备，对噪声源采用减振、隔声措施。</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（四）废活性炭</w:t>
      </w:r>
      <w:r>
        <w:rPr>
          <w:rFonts w:ascii="仿宋_GB2312" w:eastAsia="仿宋_GB2312" w:hint="eastAsia"/>
          <w:sz w:val="32"/>
          <w:szCs w:val="32"/>
        </w:rPr>
        <w:t>等</w:t>
      </w:r>
      <w:r>
        <w:rPr>
          <w:rFonts w:ascii="仿宋_GB2312" w:eastAsia="仿宋_GB2312" w:hint="eastAsia"/>
          <w:sz w:val="32"/>
          <w:szCs w:val="32"/>
        </w:rPr>
        <w:t>危险废物须设置符合《危险废物贮存污染控制标准》（</w:t>
      </w:r>
      <w:r>
        <w:rPr>
          <w:rFonts w:ascii="仿宋_GB2312" w:eastAsia="仿宋_GB2312" w:hint="eastAsia"/>
          <w:sz w:val="32"/>
          <w:szCs w:val="32"/>
        </w:rPr>
        <w:t>GB18597-2001</w:t>
      </w:r>
      <w:r>
        <w:rPr>
          <w:rFonts w:ascii="仿宋_GB2312" w:eastAsia="仿宋_GB2312" w:hint="eastAsia"/>
          <w:sz w:val="32"/>
          <w:szCs w:val="32"/>
        </w:rPr>
        <w:t>）要求的专用贮存场所存放并委托具备危险废物处理资质的机构处理，有关委托合同须报我局执法监察大队备案。</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四、该项目的性质、规模、地点、采用的生产工艺或者防治污染、防止生态破坏的措施发生重大变动的，你单位应当重新报批环境影响评价文</w:t>
      </w:r>
      <w:r>
        <w:rPr>
          <w:rFonts w:ascii="仿宋_GB2312" w:eastAsia="仿宋_GB2312" w:hint="eastAsia"/>
          <w:sz w:val="32"/>
          <w:szCs w:val="32"/>
        </w:rPr>
        <w:t>件。</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五、自《报告表》批准之日起超过五年，方决定该项目开工建设的，《报告表》应当在开工建设前报我局重新审核。未经我局重新审核同意的，不得擅自开工建设。</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该项目应当在项目所在地《住所（经营场所）场地使用证明（非住改商（环保类））》有效期内完成建设及投入使用；有效期届满仍未动工建设的，本批复自动失效。</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六、该项目建设应严格执行配套建设的环境保护设施与主体工程同时设计、同时施工、同时投产使用的环境保护“三同时”制度，具体要求如下：</w:t>
      </w:r>
    </w:p>
    <w:p w:rsidR="00D55EF7" w:rsidRDefault="00041A76" w:rsidP="00D55EF7">
      <w:pPr>
        <w:widowControl/>
        <w:tabs>
          <w:tab w:val="left" w:pos="1418"/>
        </w:tabs>
        <w:rPr>
          <w:rFonts w:ascii="仿宋_GB2312" w:eastAsia="仿宋_GB2312"/>
          <w:sz w:val="32"/>
          <w:szCs w:val="32"/>
        </w:rPr>
      </w:pPr>
      <w:r>
        <w:rPr>
          <w:rFonts w:ascii="仿宋_GB2312" w:eastAsia="仿宋_GB2312" w:hint="eastAsia"/>
          <w:color w:val="FF0000"/>
          <w:sz w:val="32"/>
          <w:szCs w:val="32"/>
        </w:rPr>
        <w:lastRenderedPageBreak/>
        <w:t xml:space="preserve">   </w:t>
      </w:r>
      <w:r>
        <w:rPr>
          <w:rFonts w:ascii="仿宋_GB2312" w:eastAsia="仿宋_GB2312" w:hint="eastAsia"/>
          <w:sz w:val="32"/>
          <w:szCs w:val="32"/>
        </w:rPr>
        <w:t xml:space="preserve"> </w:t>
      </w:r>
      <w:r>
        <w:rPr>
          <w:rFonts w:ascii="仿宋_GB2312" w:eastAsia="仿宋_GB2312" w:hint="eastAsia"/>
          <w:sz w:val="32"/>
          <w:szCs w:val="32"/>
        </w:rPr>
        <w:t>（一）项目竣工后，建设单位应当按照国务院环境保护行政主管部门规定的标准和程序，对配套建设的环境保护设施进行验收，编制验收报告，依法向社会公开。</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（二）项目配套建设的环境保护设施经验收合格后，方可投入生产或者使用。</w:t>
      </w:r>
    </w:p>
    <w:p w:rsidR="00D55EF7" w:rsidRDefault="00041A76" w:rsidP="00D55EF7">
      <w:pPr>
        <w:ind w:firstLineChars="200" w:firstLine="640"/>
        <w:rPr>
          <w:rFonts w:ascii="仿宋_GB2312" w:eastAsia="仿宋_GB2312"/>
          <w:sz w:val="32"/>
          <w:szCs w:val="32"/>
        </w:rPr>
      </w:pPr>
      <w:r>
        <w:rPr>
          <w:rFonts w:ascii="仿宋_GB2312" w:eastAsia="仿宋_GB2312" w:hint="eastAsia"/>
          <w:sz w:val="32"/>
          <w:szCs w:val="32"/>
        </w:rPr>
        <w:t>七、该项目建设和运行过程中如涉及规划、土地利用、建设、水务、消防、安全等问题，应遵照相关法律法规要求到相应的行政主管部门办理有关手续。</w:t>
      </w:r>
    </w:p>
    <w:p w:rsidR="00D55EF7" w:rsidRDefault="00041A76" w:rsidP="00D55EF7">
      <w:pPr>
        <w:rPr>
          <w:rFonts w:ascii="仿宋_GB2312" w:eastAsia="仿宋_GB2312" w:hAnsi="仿宋" w:hint="eastAsia"/>
          <w:sz w:val="32"/>
        </w:rPr>
      </w:pPr>
      <w:r>
        <w:rPr>
          <w:rFonts w:ascii="仿宋_GB2312" w:eastAsia="仿宋_GB2312" w:hint="eastAsia"/>
          <w:sz w:val="32"/>
          <w:szCs w:val="32"/>
        </w:rPr>
        <w:t xml:space="preserve">    </w:t>
      </w:r>
      <w:r>
        <w:rPr>
          <w:rFonts w:ascii="仿宋_GB2312" w:eastAsia="仿宋_GB2312" w:hint="eastAsia"/>
          <w:sz w:val="32"/>
          <w:szCs w:val="32"/>
        </w:rPr>
        <w:t>八、</w:t>
      </w:r>
      <w:r>
        <w:rPr>
          <w:rFonts w:ascii="仿宋_GB2312" w:eastAsia="仿宋_GB2312" w:hAnsi="仿宋" w:hint="eastAsia"/>
          <w:sz w:val="32"/>
        </w:rPr>
        <w:t>如不服本行政许可决定，你单位可以在接到本行政许可决定之日起</w:t>
      </w:r>
      <w:r>
        <w:rPr>
          <w:rFonts w:ascii="仿宋_GB2312" w:eastAsia="仿宋_GB2312" w:hAnsi="仿宋" w:hint="eastAsia"/>
          <w:sz w:val="32"/>
        </w:rPr>
        <w:t>60</w:t>
      </w:r>
      <w:r>
        <w:rPr>
          <w:rFonts w:ascii="仿宋_GB2312" w:eastAsia="仿宋_GB2312" w:hAnsi="仿宋" w:hint="eastAsia"/>
          <w:sz w:val="32"/>
        </w:rPr>
        <w:t>日内向广州市番禺区人民政府</w:t>
      </w:r>
      <w:r>
        <w:rPr>
          <w:rFonts w:ascii="仿宋_GB2312" w:eastAsia="仿宋_GB2312" w:hAnsi="仿宋_GB2312" w:cs="仿宋_GB2312" w:hint="eastAsia"/>
          <w:sz w:val="32"/>
          <w:szCs w:val="32"/>
        </w:rPr>
        <w:t>（地址：广州市番禺区市桥街清河东路</w:t>
      </w:r>
      <w:r>
        <w:rPr>
          <w:rFonts w:ascii="仿宋_GB2312" w:eastAsia="仿宋_GB2312" w:hAnsi="仿宋_GB2312" w:cs="仿宋_GB2312" w:hint="eastAsia"/>
          <w:sz w:val="32"/>
          <w:szCs w:val="32"/>
        </w:rPr>
        <w:t>319</w:t>
      </w:r>
      <w:r>
        <w:rPr>
          <w:rFonts w:ascii="仿宋_GB2312" w:eastAsia="仿宋_GB2312" w:hAnsi="仿宋_GB2312" w:cs="仿宋_GB2312" w:hint="eastAsia"/>
          <w:sz w:val="32"/>
          <w:szCs w:val="32"/>
        </w:rPr>
        <w:t>号区行政办公中心主楼</w:t>
      </w:r>
      <w:r>
        <w:rPr>
          <w:rFonts w:ascii="仿宋_GB2312" w:eastAsia="仿宋_GB2312" w:hAnsi="仿宋_GB2312" w:cs="仿宋_GB2312" w:hint="eastAsia"/>
          <w:sz w:val="32"/>
          <w:szCs w:val="32"/>
        </w:rPr>
        <w:t>东</w:t>
      </w:r>
      <w:r>
        <w:rPr>
          <w:rFonts w:ascii="仿宋_GB2312" w:eastAsia="仿宋_GB2312" w:hAnsi="仿宋_GB2312" w:cs="仿宋_GB2312" w:hint="eastAsia"/>
          <w:sz w:val="32"/>
          <w:szCs w:val="32"/>
        </w:rPr>
        <w:t>903</w:t>
      </w:r>
      <w:r>
        <w:rPr>
          <w:rFonts w:ascii="仿宋_GB2312" w:eastAsia="仿宋_GB2312" w:hAnsi="仿宋_GB2312" w:cs="仿宋_GB2312" w:hint="eastAsia"/>
          <w:sz w:val="32"/>
          <w:szCs w:val="32"/>
        </w:rPr>
        <w:t>室，电话：</w:t>
      </w:r>
      <w:r>
        <w:rPr>
          <w:rFonts w:ascii="仿宋_GB2312" w:eastAsia="仿宋_GB2312" w:hAnsi="仿宋_GB2312" w:cs="仿宋_GB2312" w:hint="eastAsia"/>
          <w:sz w:val="32"/>
          <w:szCs w:val="32"/>
        </w:rPr>
        <w:t>84636756</w:t>
      </w:r>
      <w:r>
        <w:rPr>
          <w:rFonts w:ascii="仿宋_GB2312" w:eastAsia="仿宋_GB2312" w:hAnsi="仿宋_GB2312" w:cs="仿宋_GB2312" w:hint="eastAsia"/>
          <w:sz w:val="32"/>
          <w:szCs w:val="32"/>
        </w:rPr>
        <w:t>）</w:t>
      </w:r>
      <w:r>
        <w:rPr>
          <w:rFonts w:ascii="仿宋_GB2312" w:eastAsia="仿宋_GB2312" w:hAnsi="仿宋" w:hint="eastAsia"/>
          <w:sz w:val="32"/>
        </w:rPr>
        <w:t>或广州市环境保护局</w:t>
      </w:r>
      <w:r>
        <w:rPr>
          <w:rFonts w:ascii="仿宋_GB2312" w:eastAsia="仿宋_GB2312" w:hAnsi="仿宋_GB2312" w:cs="仿宋_GB2312" w:hint="eastAsia"/>
          <w:sz w:val="32"/>
          <w:szCs w:val="32"/>
        </w:rPr>
        <w:t>（地址：广州市环市中路</w:t>
      </w:r>
      <w:r>
        <w:rPr>
          <w:rFonts w:ascii="仿宋_GB2312" w:eastAsia="仿宋_GB2312" w:hAnsi="仿宋_GB2312" w:cs="仿宋_GB2312" w:hint="eastAsia"/>
          <w:sz w:val="32"/>
          <w:szCs w:val="32"/>
        </w:rPr>
        <w:t>311</w:t>
      </w:r>
      <w:r>
        <w:rPr>
          <w:rFonts w:ascii="仿宋_GB2312" w:eastAsia="仿宋_GB2312" w:hAnsi="仿宋_GB2312" w:cs="仿宋_GB2312" w:hint="eastAsia"/>
          <w:sz w:val="32"/>
          <w:szCs w:val="32"/>
        </w:rPr>
        <w:t>号，电话：</w:t>
      </w:r>
      <w:r>
        <w:rPr>
          <w:rFonts w:ascii="仿宋_GB2312" w:eastAsia="仿宋_GB2312" w:hAnsi="仿宋_GB2312" w:cs="仿宋_GB2312" w:hint="eastAsia"/>
          <w:sz w:val="32"/>
          <w:szCs w:val="32"/>
        </w:rPr>
        <w:t>83203039</w:t>
      </w:r>
      <w:r>
        <w:rPr>
          <w:rFonts w:ascii="仿宋_GB2312" w:eastAsia="仿宋_GB2312" w:hAnsi="仿宋_GB2312" w:cs="仿宋_GB2312" w:hint="eastAsia"/>
          <w:sz w:val="32"/>
          <w:szCs w:val="32"/>
        </w:rPr>
        <w:t>）</w:t>
      </w:r>
      <w:r>
        <w:rPr>
          <w:rFonts w:ascii="仿宋_GB2312" w:eastAsia="仿宋_GB2312" w:hAnsi="仿宋" w:hint="eastAsia"/>
          <w:sz w:val="32"/>
        </w:rPr>
        <w:t>申请复议；或在六个月内直接向有管辖权的人民法院提起诉讼。行政复议、行政诉讼期间内</w:t>
      </w:r>
      <w:r>
        <w:rPr>
          <w:rFonts w:ascii="仿宋_GB2312" w:eastAsia="仿宋_GB2312" w:hAnsi="仿宋" w:hint="eastAsia"/>
          <w:sz w:val="32"/>
        </w:rPr>
        <w:t>,</w:t>
      </w:r>
      <w:r>
        <w:rPr>
          <w:rFonts w:ascii="仿宋_GB2312" w:eastAsia="仿宋_GB2312" w:hAnsi="仿宋" w:hint="eastAsia"/>
          <w:sz w:val="32"/>
        </w:rPr>
        <w:t>不得停止本决定的履行。</w:t>
      </w:r>
    </w:p>
    <w:p w:rsidR="00032A30" w:rsidRDefault="00041A76" w:rsidP="00D55EF7">
      <w:pPr>
        <w:autoSpaceDE w:val="0"/>
        <w:autoSpaceDN w:val="0"/>
        <w:adjustRightInd w:val="0"/>
        <w:spacing w:line="580" w:lineRule="exact"/>
        <w:ind w:firstLineChars="200" w:firstLine="640"/>
        <w:rPr>
          <w:rFonts w:eastAsia="仿宋_GB2312"/>
          <w:sz w:val="32"/>
          <w:szCs w:val="32"/>
        </w:rPr>
      </w:pPr>
    </w:p>
    <w:p w:rsidR="00D55EF7" w:rsidRDefault="00041A76" w:rsidP="00D55EF7">
      <w:pPr>
        <w:autoSpaceDE w:val="0"/>
        <w:autoSpaceDN w:val="0"/>
        <w:adjustRightInd w:val="0"/>
        <w:spacing w:line="580" w:lineRule="exact"/>
        <w:ind w:firstLineChars="200" w:firstLine="640"/>
        <w:rPr>
          <w:rFonts w:eastAsia="仿宋_GB2312"/>
          <w:sz w:val="32"/>
          <w:szCs w:val="32"/>
        </w:rPr>
      </w:pPr>
    </w:p>
    <w:p w:rsidR="00D55EF7" w:rsidRPr="00D55EF7" w:rsidRDefault="00041A76" w:rsidP="00D55EF7">
      <w:pPr>
        <w:autoSpaceDE w:val="0"/>
        <w:autoSpaceDN w:val="0"/>
        <w:adjustRightInd w:val="0"/>
        <w:spacing w:line="580" w:lineRule="exact"/>
        <w:ind w:firstLineChars="200" w:firstLine="640"/>
        <w:rPr>
          <w:rFonts w:eastAsia="仿宋_GB2312"/>
          <w:sz w:val="32"/>
          <w:szCs w:val="32"/>
        </w:rPr>
      </w:pPr>
    </w:p>
    <w:p w:rsidR="0014271B" w:rsidRDefault="0014271B" w:rsidP="0099084A">
      <w:pPr>
        <w:pStyle w:val="HTML"/>
        <w:autoSpaceDE w:val="0"/>
        <w:autoSpaceDN w:val="0"/>
        <w:adjustRightInd w:val="0"/>
        <w:spacing w:line="580" w:lineRule="exact"/>
        <w:ind w:firstLineChars="200" w:firstLine="640"/>
        <w:jc w:val="both"/>
        <w:rPr>
          <w:rFonts w:ascii="Times New Roman" w:eastAsia="仿宋_GB2312" w:hAnsi="Times New Roman" w:cs="Times New Roman"/>
          <w:sz w:val="32"/>
          <w:szCs w:val="32"/>
        </w:rPr>
      </w:pPr>
    </w:p>
    <w:p w:rsidR="0014271B" w:rsidRDefault="0014271B" w:rsidP="009C61E0">
      <w:pPr>
        <w:pStyle w:val="HTML"/>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
        <w:autoSpaceDE w:val="0"/>
        <w:autoSpaceDN w:val="0"/>
        <w:adjustRightInd w:val="0"/>
        <w:spacing w:line="680" w:lineRule="exact"/>
        <w:rPr>
          <w:rFonts w:ascii="仿宋_GB2312" w:eastAsia="仿宋_GB2312" w:cs="Times New Roman"/>
          <w:sz w:val="32"/>
          <w:szCs w:val="32"/>
        </w:rPr>
      </w:pPr>
    </w:p>
    <w:p w:rsidR="0014271B" w:rsidRPr="0078088E" w:rsidRDefault="0014271B" w:rsidP="0099084A">
      <w:pPr>
        <w:pStyle w:val="a7"/>
        <w:wordWrap w:val="0"/>
        <w:spacing w:line="580" w:lineRule="exact"/>
        <w:ind w:leftChars="0" w:left="5250" w:rightChars="611" w:right="1283" w:firstLine="640"/>
        <w:jc w:val="right"/>
        <w:rPr>
          <w:rFonts w:ascii="仿宋_GB2312"/>
        </w:rPr>
      </w:pPr>
      <w:r>
        <w:rPr>
          <w:rFonts w:ascii="仿宋_GB2312" w:cs="仿宋_GB2312" w:hint="eastAsia"/>
        </w:rPr>
        <w:t>广州市番禺区环境保护局</w:t>
      </w:r>
    </w:p>
    <w:p w:rsidR="0014271B" w:rsidRPr="00B51081" w:rsidRDefault="0014271B" w:rsidP="0099084A">
      <w:pPr>
        <w:pStyle w:val="a7"/>
        <w:spacing w:line="580" w:lineRule="exact"/>
        <w:ind w:leftChars="0" w:left="0" w:rightChars="611" w:right="1283" w:firstLine="640"/>
        <w:jc w:val="right"/>
        <w:rPr>
          <w:rFonts w:ascii="仿宋_GB2312"/>
          <w:w w:val="100"/>
        </w:rPr>
      </w:pPr>
      <w:r>
        <w:rPr>
          <w:rFonts w:ascii="仿宋_GB2312" w:cs="仿宋_GB2312" w:hint="eastAsia"/>
        </w:rPr>
        <w:t>2018年08月</w:t>
      </w:r>
      <w:r w:rsidR="005773AC">
        <w:rPr>
          <w:rFonts w:ascii="仿宋_GB2312" w:cs="仿宋_GB2312" w:hint="eastAsia"/>
        </w:rPr>
        <w:t>21</w:t>
      </w:r>
      <w:r>
        <w:rPr>
          <w:rFonts w:ascii="仿宋_GB2312" w:cs="仿宋_GB2312" w:hint="eastAsia"/>
        </w:rPr>
        <w:t>日</w:t>
      </w: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Pr="00B51081" w:rsidRDefault="0014271B" w:rsidP="00EF4691">
      <w:pPr>
        <w:spacing w:line="580" w:lineRule="exact"/>
        <w:ind w:right="11"/>
        <w:rPr>
          <w:rFonts w:ascii="方正小标宋_GBK" w:eastAsia="方正小标宋_GBK"/>
          <w:w w:val="99"/>
          <w:sz w:val="32"/>
          <w:szCs w:val="32"/>
        </w:rPr>
      </w:pPr>
      <w:r w:rsidRPr="00B51081">
        <w:rPr>
          <w:rFonts w:ascii="黑体" w:eastAsia="黑体" w:cs="黑体" w:hint="eastAsia"/>
          <w:w w:val="99"/>
          <w:sz w:val="32"/>
          <w:szCs w:val="32"/>
        </w:rPr>
        <w:t>公开形式：主动公开</w:t>
      </w:r>
      <w:r w:rsidRPr="00B51081">
        <w:rPr>
          <w:rFonts w:ascii="方正小标宋_GBK" w:eastAsia="方正小标宋_GBK" w:cs="方正小标宋_GBK"/>
          <w:w w:val="99"/>
          <w:sz w:val="32"/>
          <w:szCs w:val="32"/>
        </w:rPr>
        <w:t xml:space="preserve"> </w:t>
      </w:r>
    </w:p>
    <w:p w:rsidR="0014271B" w:rsidRPr="00B51081" w:rsidRDefault="0014271B" w:rsidP="0099084A">
      <w:pPr>
        <w:spacing w:line="580" w:lineRule="exact"/>
        <w:ind w:leftChars="152" w:left="1279" w:rightChars="182" w:right="382" w:hangingChars="300" w:hanging="960"/>
        <w:rPr>
          <w:rFonts w:ascii="仿宋_GB2312" w:eastAsia="仿宋_GB2312"/>
          <w:w w:val="99"/>
          <w:sz w:val="32"/>
          <w:szCs w:val="32"/>
        </w:rPr>
      </w:pPr>
      <w:r w:rsidRPr="00B51081">
        <w:rPr>
          <w:rFonts w:ascii="仿宋_GB2312" w:eastAsia="仿宋_GB2312" w:cs="仿宋_GB2312" w:hint="eastAsia"/>
          <w:sz w:val="32"/>
          <w:szCs w:val="32"/>
        </w:rPr>
        <w:t>抄送：广州市番禺区环境保护局执法监察大队、第四环境保护所，广州市番禺环境工程有限公司</w:t>
      </w:r>
    </w:p>
    <w:p w:rsidR="0014271B" w:rsidRPr="009C61E0" w:rsidRDefault="0014271B" w:rsidP="00CD241F">
      <w:pPr>
        <w:spacing w:line="580" w:lineRule="exact"/>
        <w:ind w:rightChars="182" w:right="382" w:firstLineChars="98" w:firstLine="314"/>
        <w:rPr>
          <w:rFonts w:eastAsia="仿宋_GB2312"/>
          <w:sz w:val="32"/>
          <w:szCs w:val="32"/>
        </w:rPr>
      </w:pPr>
      <w:r w:rsidRPr="00702A12">
        <w:rPr>
          <w:rFonts w:ascii="仿宋_GB2312" w:eastAsia="仿宋_GB2312" w:cs="仿宋_GB2312"/>
          <w:sz w:val="32"/>
          <w:szCs w:val="32"/>
        </w:rPr>
        <w:t xml:space="preserve">      </w:t>
      </w:r>
      <w:r w:rsidRPr="00702A12">
        <w:rPr>
          <w:rFonts w:eastAsia="仿宋_GB2312"/>
          <w:sz w:val="32"/>
          <w:szCs w:val="32"/>
        </w:rPr>
        <w:t xml:space="preserve"> </w:t>
      </w:r>
    </w:p>
    <w:sectPr w:rsidR="0014271B" w:rsidRPr="009C61E0" w:rsidSect="00B1116C">
      <w:footerReference w:type="default" r:id="rId6"/>
      <w:footerReference w:type="first" r:id="rId7"/>
      <w:pgSz w:w="11906" w:h="16838" w:code="9"/>
      <w:pgMar w:top="1985" w:right="1474" w:bottom="1134" w:left="1588" w:header="851" w:footer="1588"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A76" w:rsidRDefault="00041A76">
      <w:r>
        <w:separator/>
      </w:r>
    </w:p>
  </w:endnote>
  <w:endnote w:type="continuationSeparator" w:id="0">
    <w:p w:rsidR="00041A76" w:rsidRDefault="00041A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公文小标宋简">
    <w:altName w:val="宋体"/>
    <w:panose1 w:val="00000000000000000000"/>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小标宋简体"/>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71B" w:rsidRDefault="0014271B" w:rsidP="00593C55">
    <w:pPr>
      <w:pStyle w:val="a3"/>
    </w:pPr>
    <w:r w:rsidRPr="0096687A">
      <w:rPr>
        <w:rStyle w:val="a4"/>
        <w:rFonts w:ascii="宋体" w:hAnsi="宋体" w:cs="宋体" w:hint="eastAsia"/>
        <w:sz w:val="28"/>
        <w:szCs w:val="28"/>
      </w:rPr>
      <w:t>―</w:t>
    </w:r>
    <w:r w:rsidRPr="0096687A">
      <w:rPr>
        <w:rStyle w:val="a4"/>
        <w:rFonts w:ascii="宋体" w:hAnsi="宋体" w:cs="宋体"/>
        <w:sz w:val="28"/>
        <w:szCs w:val="28"/>
      </w:rPr>
      <w:t xml:space="preserve"> </w:t>
    </w:r>
    <w:r w:rsidR="00CD241F" w:rsidRPr="0096687A">
      <w:rPr>
        <w:rStyle w:val="a4"/>
        <w:rFonts w:ascii="宋体" w:hAnsi="宋体" w:cs="宋体"/>
        <w:sz w:val="28"/>
        <w:szCs w:val="28"/>
      </w:rPr>
      <w:fldChar w:fldCharType="begin"/>
    </w:r>
    <w:r w:rsidRPr="0096687A">
      <w:rPr>
        <w:rStyle w:val="a4"/>
        <w:rFonts w:ascii="宋体" w:hAnsi="宋体" w:cs="宋体"/>
        <w:sz w:val="28"/>
        <w:szCs w:val="28"/>
      </w:rPr>
      <w:instrText xml:space="preserve">PAGE  </w:instrText>
    </w:r>
    <w:r w:rsidR="00CD241F" w:rsidRPr="0096687A">
      <w:rPr>
        <w:rStyle w:val="a4"/>
        <w:rFonts w:ascii="宋体" w:hAnsi="宋体" w:cs="宋体"/>
        <w:sz w:val="28"/>
        <w:szCs w:val="28"/>
      </w:rPr>
      <w:fldChar w:fldCharType="separate"/>
    </w:r>
    <w:r w:rsidR="005773AC">
      <w:rPr>
        <w:rStyle w:val="a4"/>
        <w:rFonts w:ascii="宋体" w:hAnsi="宋体" w:cs="宋体"/>
        <w:noProof/>
        <w:sz w:val="28"/>
        <w:szCs w:val="28"/>
      </w:rPr>
      <w:t>2</w:t>
    </w:r>
    <w:r w:rsidR="00CD241F" w:rsidRPr="0096687A">
      <w:rPr>
        <w:rStyle w:val="a4"/>
        <w:rFonts w:ascii="宋体" w:hAnsi="宋体" w:cs="宋体"/>
        <w:sz w:val="28"/>
        <w:szCs w:val="28"/>
      </w:rPr>
      <w:fldChar w:fldCharType="end"/>
    </w:r>
    <w:r w:rsidRPr="0096687A">
      <w:rPr>
        <w:rStyle w:val="a4"/>
        <w:rFonts w:ascii="宋体" w:hAnsi="宋体" w:cs="宋体"/>
        <w:sz w:val="28"/>
        <w:szCs w:val="28"/>
      </w:rPr>
      <w:t xml:space="preserve"> </w:t>
    </w:r>
    <w:r w:rsidRPr="0096687A">
      <w:rPr>
        <w:rStyle w:val="a4"/>
        <w:rFonts w:ascii="宋体" w:hAnsi="宋体" w:cs="宋体" w:hint="eastAsia"/>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71B" w:rsidRDefault="00CD241F">
    <w:pPr>
      <w:pStyle w:val="a3"/>
    </w:pPr>
    <w:r>
      <w:rPr>
        <w:noProof/>
      </w:rPr>
      <w:pict>
        <v:line id="_x0000_s2049" style="position:absolute;z-index:251660288" from="0,26pt" to="441pt,26pt" strokecolor="red" strokeweight="4.5pt">
          <v:stroke linestyle="thinThick"/>
        </v:lin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A76" w:rsidRDefault="00041A76">
      <w:r>
        <w:separator/>
      </w:r>
    </w:p>
  </w:footnote>
  <w:footnote w:type="continuationSeparator" w:id="0">
    <w:p w:rsidR="00041A76" w:rsidRDefault="00041A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4896"/>
    <w:rsid w:val="00000B6D"/>
    <w:rsid w:val="00041A76"/>
    <w:rsid w:val="000450DC"/>
    <w:rsid w:val="000C0CFE"/>
    <w:rsid w:val="0014271B"/>
    <w:rsid w:val="00197C9B"/>
    <w:rsid w:val="001C582A"/>
    <w:rsid w:val="00261D87"/>
    <w:rsid w:val="00270B56"/>
    <w:rsid w:val="0029403F"/>
    <w:rsid w:val="002A3900"/>
    <w:rsid w:val="003135E4"/>
    <w:rsid w:val="0038302E"/>
    <w:rsid w:val="003C3C5A"/>
    <w:rsid w:val="003F52EE"/>
    <w:rsid w:val="00403D3B"/>
    <w:rsid w:val="004211D5"/>
    <w:rsid w:val="004F00C9"/>
    <w:rsid w:val="004F2B80"/>
    <w:rsid w:val="005011C8"/>
    <w:rsid w:val="00547CE4"/>
    <w:rsid w:val="005773AC"/>
    <w:rsid w:val="00577DE3"/>
    <w:rsid w:val="00593C55"/>
    <w:rsid w:val="005A3218"/>
    <w:rsid w:val="005C49DE"/>
    <w:rsid w:val="005D2912"/>
    <w:rsid w:val="00611083"/>
    <w:rsid w:val="00621F77"/>
    <w:rsid w:val="00636DEC"/>
    <w:rsid w:val="0066536E"/>
    <w:rsid w:val="006C0566"/>
    <w:rsid w:val="00702A12"/>
    <w:rsid w:val="00706DC5"/>
    <w:rsid w:val="00716C35"/>
    <w:rsid w:val="00721EC5"/>
    <w:rsid w:val="0077152E"/>
    <w:rsid w:val="0078088E"/>
    <w:rsid w:val="007953FD"/>
    <w:rsid w:val="007D1EE6"/>
    <w:rsid w:val="007E3C40"/>
    <w:rsid w:val="00881019"/>
    <w:rsid w:val="008D3FB1"/>
    <w:rsid w:val="009365AE"/>
    <w:rsid w:val="0094479C"/>
    <w:rsid w:val="00965D80"/>
    <w:rsid w:val="0096687A"/>
    <w:rsid w:val="009755A6"/>
    <w:rsid w:val="00990539"/>
    <w:rsid w:val="0099084A"/>
    <w:rsid w:val="00994641"/>
    <w:rsid w:val="009C61E0"/>
    <w:rsid w:val="009D457E"/>
    <w:rsid w:val="009E5D6B"/>
    <w:rsid w:val="009F6521"/>
    <w:rsid w:val="00A764A8"/>
    <w:rsid w:val="00AA16CB"/>
    <w:rsid w:val="00AC2FD6"/>
    <w:rsid w:val="00AF5572"/>
    <w:rsid w:val="00B1116C"/>
    <w:rsid w:val="00B4139A"/>
    <w:rsid w:val="00B47565"/>
    <w:rsid w:val="00B51081"/>
    <w:rsid w:val="00B829BA"/>
    <w:rsid w:val="00BD5E65"/>
    <w:rsid w:val="00C83317"/>
    <w:rsid w:val="00CB242A"/>
    <w:rsid w:val="00CD241F"/>
    <w:rsid w:val="00D00467"/>
    <w:rsid w:val="00D14896"/>
    <w:rsid w:val="00D5220E"/>
    <w:rsid w:val="00D61C27"/>
    <w:rsid w:val="00D95934"/>
    <w:rsid w:val="00D961F1"/>
    <w:rsid w:val="00DC1D0D"/>
    <w:rsid w:val="00DC3D46"/>
    <w:rsid w:val="00DE27FA"/>
    <w:rsid w:val="00DE2C98"/>
    <w:rsid w:val="00DF5862"/>
    <w:rsid w:val="00E10F2D"/>
    <w:rsid w:val="00E215C8"/>
    <w:rsid w:val="00E652DC"/>
    <w:rsid w:val="00E76F30"/>
    <w:rsid w:val="00E85BE3"/>
    <w:rsid w:val="00EF4691"/>
    <w:rsid w:val="00EF77C7"/>
    <w:rsid w:val="00F15BF7"/>
    <w:rsid w:val="00F22D81"/>
    <w:rsid w:val="00F4028D"/>
    <w:rsid w:val="00F56C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900"/>
    <w:pPr>
      <w:widowControl w:val="0"/>
      <w:jc w:val="both"/>
    </w:pPr>
    <w:rPr>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2A3900"/>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F22D81"/>
    <w:rPr>
      <w:sz w:val="18"/>
      <w:szCs w:val="18"/>
    </w:rPr>
  </w:style>
  <w:style w:type="character" w:styleId="a4">
    <w:name w:val="page number"/>
    <w:basedOn w:val="a0"/>
    <w:uiPriority w:val="99"/>
    <w:rsid w:val="002A3900"/>
  </w:style>
  <w:style w:type="paragraph" w:styleId="a5">
    <w:name w:val="Body Text Indent"/>
    <w:basedOn w:val="a"/>
    <w:link w:val="Char0"/>
    <w:uiPriority w:val="99"/>
    <w:rsid w:val="002A3900"/>
    <w:pPr>
      <w:spacing w:line="560" w:lineRule="exact"/>
      <w:ind w:firstLineChars="200" w:firstLine="600"/>
      <w:outlineLvl w:val="0"/>
    </w:pPr>
    <w:rPr>
      <w:rFonts w:ascii="仿宋_GB2312" w:eastAsia="仿宋_GB2312" w:cs="仿宋_GB2312"/>
      <w:sz w:val="30"/>
      <w:szCs w:val="30"/>
    </w:rPr>
  </w:style>
  <w:style w:type="character" w:customStyle="1" w:styleId="Char0">
    <w:name w:val="正文文本缩进 Char"/>
    <w:basedOn w:val="a0"/>
    <w:link w:val="a5"/>
    <w:uiPriority w:val="99"/>
    <w:semiHidden/>
    <w:locked/>
    <w:rsid w:val="00F22D81"/>
    <w:rPr>
      <w:sz w:val="21"/>
      <w:szCs w:val="21"/>
    </w:rPr>
  </w:style>
  <w:style w:type="paragraph" w:styleId="2">
    <w:name w:val="Body Text Indent 2"/>
    <w:basedOn w:val="a"/>
    <w:link w:val="2Char"/>
    <w:uiPriority w:val="99"/>
    <w:rsid w:val="002A3900"/>
    <w:pPr>
      <w:snapToGrid w:val="0"/>
      <w:spacing w:line="600" w:lineRule="exact"/>
      <w:ind w:firstLineChars="200" w:firstLine="640"/>
    </w:pPr>
    <w:rPr>
      <w:rFonts w:ascii="仿宋_GB2312" w:eastAsia="仿宋_GB2312" w:cs="仿宋_GB2312"/>
      <w:color w:val="FF0000"/>
      <w:sz w:val="32"/>
      <w:szCs w:val="32"/>
    </w:rPr>
  </w:style>
  <w:style w:type="character" w:customStyle="1" w:styleId="2Char">
    <w:name w:val="正文文本缩进 2 Char"/>
    <w:basedOn w:val="a0"/>
    <w:link w:val="2"/>
    <w:uiPriority w:val="99"/>
    <w:semiHidden/>
    <w:locked/>
    <w:rsid w:val="00F22D81"/>
    <w:rPr>
      <w:sz w:val="21"/>
      <w:szCs w:val="21"/>
    </w:rPr>
  </w:style>
  <w:style w:type="paragraph" w:styleId="a6">
    <w:name w:val="header"/>
    <w:basedOn w:val="a"/>
    <w:link w:val="Char1"/>
    <w:uiPriority w:val="99"/>
    <w:rsid w:val="002A390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locked/>
    <w:rsid w:val="009C61E0"/>
    <w:rPr>
      <w:rFonts w:eastAsia="宋体"/>
      <w:kern w:val="2"/>
      <w:sz w:val="18"/>
      <w:szCs w:val="18"/>
      <w:lang w:val="en-US" w:eastAsia="zh-CN"/>
    </w:rPr>
  </w:style>
  <w:style w:type="paragraph" w:styleId="a7">
    <w:name w:val="Date"/>
    <w:basedOn w:val="a"/>
    <w:next w:val="a"/>
    <w:link w:val="Char2"/>
    <w:uiPriority w:val="99"/>
    <w:rsid w:val="00E85BE3"/>
    <w:pPr>
      <w:ind w:leftChars="2500" w:left="100"/>
    </w:pPr>
    <w:rPr>
      <w:rFonts w:eastAsia="仿宋_GB2312"/>
      <w:w w:val="99"/>
      <w:sz w:val="32"/>
      <w:szCs w:val="32"/>
    </w:rPr>
  </w:style>
  <w:style w:type="character" w:customStyle="1" w:styleId="Char2">
    <w:name w:val="日期 Char"/>
    <w:basedOn w:val="a0"/>
    <w:link w:val="a7"/>
    <w:uiPriority w:val="99"/>
    <w:semiHidden/>
    <w:locked/>
    <w:rsid w:val="00F22D81"/>
    <w:rPr>
      <w:sz w:val="21"/>
      <w:szCs w:val="21"/>
    </w:rPr>
  </w:style>
  <w:style w:type="paragraph" w:styleId="a8">
    <w:name w:val="Balloon Text"/>
    <w:basedOn w:val="a"/>
    <w:link w:val="Char3"/>
    <w:uiPriority w:val="99"/>
    <w:semiHidden/>
    <w:rsid w:val="004F2B80"/>
    <w:rPr>
      <w:sz w:val="18"/>
      <w:szCs w:val="18"/>
    </w:rPr>
  </w:style>
  <w:style w:type="character" w:customStyle="1" w:styleId="Char3">
    <w:name w:val="批注框文本 Char"/>
    <w:basedOn w:val="a0"/>
    <w:link w:val="a8"/>
    <w:uiPriority w:val="99"/>
    <w:semiHidden/>
    <w:locked/>
    <w:rsid w:val="00F22D81"/>
    <w:rPr>
      <w:sz w:val="2"/>
      <w:szCs w:val="2"/>
    </w:rPr>
  </w:style>
  <w:style w:type="paragraph" w:styleId="HTML">
    <w:name w:val="HTML Preformatted"/>
    <w:basedOn w:val="a"/>
    <w:link w:val="HTMLChar"/>
    <w:uiPriority w:val="99"/>
    <w:rsid w:val="009C61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0"/>
    <w:link w:val="HTML"/>
    <w:uiPriority w:val="99"/>
    <w:semiHidden/>
    <w:locked/>
    <w:rsid w:val="009C61E0"/>
    <w:rPr>
      <w:rFonts w:ascii="宋体" w:eastAsia="宋体" w:hAnsi="宋体" w:cs="宋体"/>
      <w:kern w:val="2"/>
      <w:sz w:val="24"/>
      <w:szCs w:val="24"/>
      <w:lang w:val="en-US"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278</Words>
  <Characters>1588</Characters>
  <Application>Microsoft Office Word</Application>
  <DocSecurity>0</DocSecurity>
  <Lines>13</Lines>
  <Paragraphs>3</Paragraphs>
  <ScaleCrop>false</ScaleCrop>
  <Company>bb</Company>
  <LinksUpToDate>false</LinksUpToDate>
  <CharactersWithSpaces>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Generated by OpenXML4J</dc:creator>
  <cp:lastModifiedBy>Panyu EPB</cp:lastModifiedBy>
  <cp:revision>4</cp:revision>
  <dcterms:created xsi:type="dcterms:W3CDTF">2018-08-23T03:09:00Z</dcterms:created>
  <dcterms:modified xsi:type="dcterms:W3CDTF">2018-08-23T03:10:00Z</dcterms:modified>
</cp:coreProperties>
</file>